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28DF" w14:textId="77777777" w:rsidR="00457DB3" w:rsidRDefault="00687C79" w:rsidP="00B814FD">
      <w:pPr>
        <w:spacing w:line="480" w:lineRule="auto"/>
        <w:rPr>
          <w:b/>
          <w:bCs/>
          <w:sz w:val="22"/>
          <w:szCs w:val="22"/>
        </w:rPr>
      </w:pPr>
      <w:r>
        <w:rPr>
          <w:b/>
          <w:bCs/>
          <w:noProof/>
          <w:sz w:val="22"/>
          <w:szCs w:val="22"/>
        </w:rPr>
        <w:drawing>
          <wp:anchor distT="0" distB="0" distL="114300" distR="114300" simplePos="0" relativeHeight="251659263" behindDoc="1" locked="0" layoutInCell="1" allowOverlap="1" wp14:anchorId="0EA07AF1" wp14:editId="3D991DC8">
            <wp:simplePos x="0" y="0"/>
            <wp:positionH relativeFrom="column">
              <wp:posOffset>217351</wp:posOffset>
            </wp:positionH>
            <wp:positionV relativeFrom="page">
              <wp:posOffset>332105</wp:posOffset>
            </wp:positionV>
            <wp:extent cx="1295400" cy="858520"/>
            <wp:effectExtent l="0" t="0" r="0" b="0"/>
            <wp:wrapNone/>
            <wp:docPr id="10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7C79">
        <w:rPr>
          <w:rFonts w:ascii="Gilroy SemiBold" w:hAnsi="Gilroy SemiBold"/>
          <w:b/>
          <w:bCs/>
          <w:noProof/>
          <w:sz w:val="40"/>
          <w:szCs w:val="40"/>
        </w:rPr>
        <w:drawing>
          <wp:anchor distT="0" distB="0" distL="114300" distR="114300" simplePos="0" relativeHeight="251658239" behindDoc="1" locked="0" layoutInCell="1" allowOverlap="1" wp14:anchorId="36185E45" wp14:editId="5FE54406">
            <wp:simplePos x="0" y="0"/>
            <wp:positionH relativeFrom="column">
              <wp:posOffset>-606970</wp:posOffset>
            </wp:positionH>
            <wp:positionV relativeFrom="page">
              <wp:posOffset>-60325</wp:posOffset>
            </wp:positionV>
            <wp:extent cx="8882380" cy="11493500"/>
            <wp:effectExtent l="0" t="0" r="0" b="0"/>
            <wp:wrapNone/>
            <wp:docPr id="1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2380" cy="1149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AB9F8" w14:textId="77777777" w:rsidR="00457DB3" w:rsidRDefault="00457DB3" w:rsidP="00B814FD">
      <w:pPr>
        <w:spacing w:line="480" w:lineRule="auto"/>
        <w:rPr>
          <w:b/>
          <w:bCs/>
          <w:sz w:val="22"/>
          <w:szCs w:val="22"/>
        </w:rPr>
      </w:pPr>
    </w:p>
    <w:p w14:paraId="3FFD3975" w14:textId="77777777" w:rsidR="00457DB3" w:rsidRDefault="00457DB3" w:rsidP="00B814FD">
      <w:pPr>
        <w:spacing w:line="480" w:lineRule="auto"/>
        <w:rPr>
          <w:b/>
          <w:bCs/>
          <w:sz w:val="22"/>
          <w:szCs w:val="22"/>
        </w:rPr>
      </w:pPr>
    </w:p>
    <w:p w14:paraId="70921997" w14:textId="77777777" w:rsidR="00457DB3" w:rsidRDefault="00457DB3" w:rsidP="00B814FD">
      <w:pPr>
        <w:spacing w:line="480" w:lineRule="auto"/>
        <w:rPr>
          <w:b/>
          <w:bCs/>
          <w:sz w:val="22"/>
          <w:szCs w:val="22"/>
        </w:rPr>
      </w:pPr>
    </w:p>
    <w:p w14:paraId="2FEC98C3" w14:textId="77777777" w:rsidR="00457DB3" w:rsidRDefault="00457DB3" w:rsidP="00B814FD">
      <w:pPr>
        <w:spacing w:line="480" w:lineRule="auto"/>
        <w:rPr>
          <w:b/>
          <w:bCs/>
          <w:sz w:val="22"/>
          <w:szCs w:val="22"/>
        </w:rPr>
      </w:pPr>
    </w:p>
    <w:p w14:paraId="22AD41B1" w14:textId="77777777" w:rsidR="00457DB3" w:rsidRDefault="00457DB3" w:rsidP="00B814FD">
      <w:pPr>
        <w:spacing w:line="480" w:lineRule="auto"/>
        <w:rPr>
          <w:b/>
          <w:bCs/>
          <w:sz w:val="22"/>
          <w:szCs w:val="22"/>
        </w:rPr>
      </w:pPr>
    </w:p>
    <w:p w14:paraId="6BBDD666" w14:textId="77777777" w:rsidR="00457DB3" w:rsidRDefault="00457DB3" w:rsidP="00B814FD">
      <w:pPr>
        <w:spacing w:line="480" w:lineRule="auto"/>
        <w:rPr>
          <w:b/>
          <w:bCs/>
          <w:sz w:val="22"/>
          <w:szCs w:val="22"/>
        </w:rPr>
      </w:pPr>
    </w:p>
    <w:p w14:paraId="6CD7029C" w14:textId="77777777" w:rsidR="00457DB3" w:rsidRDefault="00457DB3" w:rsidP="00B814FD">
      <w:pPr>
        <w:spacing w:line="480" w:lineRule="auto"/>
        <w:rPr>
          <w:b/>
          <w:bCs/>
          <w:sz w:val="22"/>
          <w:szCs w:val="22"/>
        </w:rPr>
      </w:pPr>
    </w:p>
    <w:p w14:paraId="0F8C08BF" w14:textId="77777777" w:rsidR="00457DB3" w:rsidRDefault="00457DB3" w:rsidP="00B814FD">
      <w:pPr>
        <w:spacing w:line="480" w:lineRule="auto"/>
        <w:rPr>
          <w:b/>
          <w:bCs/>
          <w:sz w:val="22"/>
          <w:szCs w:val="22"/>
        </w:rPr>
      </w:pPr>
    </w:p>
    <w:p w14:paraId="0A38346C" w14:textId="77777777" w:rsidR="00457DB3" w:rsidRDefault="00457DB3" w:rsidP="00807136">
      <w:pPr>
        <w:tabs>
          <w:tab w:val="left" w:pos="4183"/>
        </w:tabs>
        <w:spacing w:line="480" w:lineRule="auto"/>
        <w:rPr>
          <w:b/>
          <w:bCs/>
          <w:sz w:val="22"/>
          <w:szCs w:val="22"/>
        </w:rPr>
      </w:pPr>
    </w:p>
    <w:p w14:paraId="293FCD15" w14:textId="77777777" w:rsidR="00457DB3" w:rsidRDefault="00457DB3" w:rsidP="00B814FD">
      <w:pPr>
        <w:spacing w:line="480" w:lineRule="auto"/>
        <w:rPr>
          <w:b/>
          <w:bCs/>
          <w:sz w:val="22"/>
          <w:szCs w:val="22"/>
        </w:rPr>
      </w:pPr>
    </w:p>
    <w:tbl>
      <w:tblPr>
        <w:tblStyle w:val="TableGrid"/>
        <w:tblpPr w:leftFromText="180" w:rightFromText="180" w:vertAnchor="text" w:horzAnchor="margin" w:tblpY="5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969"/>
        <w:gridCol w:w="5245"/>
        <w:gridCol w:w="567"/>
      </w:tblGrid>
      <w:tr w:rsidR="00FF464E" w:rsidRPr="00687C79" w14:paraId="6B8045A5" w14:textId="77777777" w:rsidTr="00FF464E">
        <w:trPr>
          <w:trHeight w:val="170"/>
        </w:trPr>
        <w:tc>
          <w:tcPr>
            <w:tcW w:w="851" w:type="dxa"/>
            <w:tcBorders>
              <w:bottom w:val="single" w:sz="36" w:space="0" w:color="FFFFFF" w:themeColor="background1"/>
            </w:tcBorders>
            <w:vAlign w:val="bottom"/>
          </w:tcPr>
          <w:p w14:paraId="0FAB5ACD" w14:textId="77777777" w:rsidR="00FF464E" w:rsidRPr="00807136" w:rsidRDefault="00FF464E" w:rsidP="00FF464E">
            <w:pPr>
              <w:rPr>
                <w:rFonts w:ascii="Gilroy SemiBold" w:hAnsi="Gilroy SemiBold"/>
                <w:b/>
                <w:bCs/>
                <w:sz w:val="36"/>
                <w:szCs w:val="36"/>
              </w:rPr>
            </w:pPr>
          </w:p>
        </w:tc>
        <w:tc>
          <w:tcPr>
            <w:tcW w:w="3969" w:type="dxa"/>
            <w:tcBorders>
              <w:bottom w:val="single" w:sz="36" w:space="0" w:color="FFFFFF" w:themeColor="background1"/>
            </w:tcBorders>
            <w:vAlign w:val="bottom"/>
          </w:tcPr>
          <w:p w14:paraId="3BC7187B" w14:textId="77777777" w:rsidR="00FF464E" w:rsidRPr="00807136" w:rsidRDefault="007A4125" w:rsidP="00FF464E">
            <w:pPr>
              <w:rPr>
                <w:rFonts w:ascii="Gilroy SemiBold" w:hAnsi="Gilroy SemiBold"/>
                <w:b/>
                <w:bCs/>
                <w:color w:val="FFFFFF" w:themeColor="background1"/>
                <w:sz w:val="36"/>
                <w:szCs w:val="36"/>
              </w:rPr>
            </w:pPr>
            <w:r>
              <w:rPr>
                <w:rFonts w:ascii="Gilroy SemiBold" w:hAnsi="Gilroy SemiBold"/>
                <w:b/>
                <w:bCs/>
                <w:color w:val="FFFFFF" w:themeColor="background1"/>
                <w:sz w:val="36"/>
                <w:szCs w:val="36"/>
              </w:rPr>
              <w:t>Draft Review</w:t>
            </w:r>
            <w:r w:rsidR="00FF464E" w:rsidRPr="00807136">
              <w:rPr>
                <w:rFonts w:ascii="Gilroy SemiBold" w:hAnsi="Gilroy SemiBold"/>
                <w:b/>
                <w:bCs/>
                <w:color w:val="FFFFFF" w:themeColor="background1"/>
                <w:sz w:val="36"/>
                <w:szCs w:val="36"/>
              </w:rPr>
              <w:t xml:space="preserve"> </w:t>
            </w:r>
          </w:p>
        </w:tc>
        <w:tc>
          <w:tcPr>
            <w:tcW w:w="5812" w:type="dxa"/>
            <w:gridSpan w:val="2"/>
            <w:tcBorders>
              <w:bottom w:val="single" w:sz="36" w:space="0" w:color="FFFFFF" w:themeColor="background1"/>
            </w:tcBorders>
            <w:vAlign w:val="bottom"/>
          </w:tcPr>
          <w:p w14:paraId="6002EE63" w14:textId="77777777" w:rsidR="00FF464E" w:rsidRPr="00687C79" w:rsidRDefault="00FF464E" w:rsidP="007A4125">
            <w:pPr>
              <w:jc w:val="center"/>
              <w:rPr>
                <w:rFonts w:ascii="Gilroy SemiBold" w:hAnsi="Gilroy SemiBold"/>
                <w:b/>
                <w:bCs/>
                <w:color w:val="FFFFFF" w:themeColor="background1"/>
                <w:sz w:val="40"/>
                <w:szCs w:val="40"/>
              </w:rPr>
            </w:pPr>
          </w:p>
        </w:tc>
      </w:tr>
      <w:tr w:rsidR="00FF464E" w:rsidRPr="00687C79" w14:paraId="53350397" w14:textId="77777777" w:rsidTr="00FF464E">
        <w:trPr>
          <w:trHeight w:val="789"/>
        </w:trPr>
        <w:tc>
          <w:tcPr>
            <w:tcW w:w="851" w:type="dxa"/>
            <w:tcBorders>
              <w:top w:val="single" w:sz="36" w:space="0" w:color="FFFFFF" w:themeColor="background1"/>
            </w:tcBorders>
            <w:vAlign w:val="center"/>
          </w:tcPr>
          <w:p w14:paraId="32FCCA8C" w14:textId="77777777" w:rsidR="00FF464E" w:rsidRPr="00687C79" w:rsidRDefault="00FF464E" w:rsidP="00FF464E">
            <w:pPr>
              <w:rPr>
                <w:rFonts w:ascii="Gilroy SemiBold" w:hAnsi="Gilroy SemiBold"/>
                <w:b/>
                <w:bCs/>
                <w:sz w:val="40"/>
                <w:szCs w:val="40"/>
              </w:rPr>
            </w:pPr>
          </w:p>
        </w:tc>
        <w:tc>
          <w:tcPr>
            <w:tcW w:w="9214" w:type="dxa"/>
            <w:gridSpan w:val="2"/>
            <w:tcBorders>
              <w:top w:val="single" w:sz="36" w:space="0" w:color="FFFFFF" w:themeColor="background1"/>
            </w:tcBorders>
            <w:vAlign w:val="center"/>
          </w:tcPr>
          <w:p w14:paraId="26F31D3A" w14:textId="77777777" w:rsidR="00FF464E" w:rsidRPr="00687C79" w:rsidRDefault="00FF464E" w:rsidP="00FF464E">
            <w:pPr>
              <w:spacing w:before="120"/>
              <w:rPr>
                <w:rFonts w:ascii="Gilroy SemiBold" w:hAnsi="Gilroy SemiBold"/>
                <w:b/>
                <w:bCs/>
                <w:color w:val="FFFFFF" w:themeColor="background1"/>
                <w:sz w:val="40"/>
                <w:szCs w:val="40"/>
              </w:rPr>
            </w:pPr>
            <w:r w:rsidRPr="00807136">
              <w:rPr>
                <w:rFonts w:ascii="Gilroy SemiBold" w:hAnsi="Gilroy SemiBold"/>
                <w:b/>
                <w:bCs/>
                <w:color w:val="FFFFFF" w:themeColor="background1"/>
                <w:sz w:val="48"/>
                <w:szCs w:val="48"/>
              </w:rPr>
              <w:t>Green Valley Civic Centre Refurbishment and Expansion</w:t>
            </w:r>
          </w:p>
        </w:tc>
        <w:tc>
          <w:tcPr>
            <w:tcW w:w="567" w:type="dxa"/>
            <w:tcBorders>
              <w:top w:val="single" w:sz="36" w:space="0" w:color="FFFFFF" w:themeColor="background1"/>
            </w:tcBorders>
            <w:vAlign w:val="bottom"/>
          </w:tcPr>
          <w:p w14:paraId="57B4EEAB" w14:textId="77777777" w:rsidR="00FF464E" w:rsidRPr="00687C79" w:rsidRDefault="00FF464E" w:rsidP="00FF464E">
            <w:pPr>
              <w:rPr>
                <w:rFonts w:ascii="Gilroy SemiBold" w:hAnsi="Gilroy SemiBold"/>
                <w:b/>
                <w:bCs/>
                <w:color w:val="FFFFFF" w:themeColor="background1"/>
                <w:sz w:val="40"/>
                <w:szCs w:val="40"/>
              </w:rPr>
            </w:pPr>
          </w:p>
        </w:tc>
      </w:tr>
      <w:tr w:rsidR="00FF464E" w:rsidRPr="00687C79" w14:paraId="2D749B5D" w14:textId="77777777" w:rsidTr="00FF464E">
        <w:trPr>
          <w:trHeight w:val="745"/>
        </w:trPr>
        <w:tc>
          <w:tcPr>
            <w:tcW w:w="851" w:type="dxa"/>
            <w:vAlign w:val="bottom"/>
          </w:tcPr>
          <w:p w14:paraId="33D7A028" w14:textId="77777777" w:rsidR="00FF464E" w:rsidRPr="00687C79" w:rsidRDefault="00FF464E" w:rsidP="00FF464E">
            <w:pPr>
              <w:rPr>
                <w:rFonts w:ascii="Gilroy SemiBold" w:hAnsi="Gilroy SemiBold"/>
                <w:b/>
                <w:bCs/>
                <w:sz w:val="40"/>
                <w:szCs w:val="40"/>
              </w:rPr>
            </w:pPr>
          </w:p>
        </w:tc>
        <w:tc>
          <w:tcPr>
            <w:tcW w:w="9214" w:type="dxa"/>
            <w:gridSpan w:val="2"/>
            <w:vAlign w:val="center"/>
          </w:tcPr>
          <w:p w14:paraId="7227F260" w14:textId="77777777" w:rsidR="00FF464E" w:rsidRPr="00687C79" w:rsidRDefault="00FF464E" w:rsidP="00FF464E">
            <w:pPr>
              <w:spacing w:before="240"/>
              <w:rPr>
                <w:rFonts w:ascii="Gilroy SemiBold" w:hAnsi="Gilroy SemiBold"/>
                <w:b/>
                <w:bCs/>
                <w:color w:val="FFFFFF" w:themeColor="background1"/>
                <w:sz w:val="40"/>
                <w:szCs w:val="40"/>
              </w:rPr>
            </w:pPr>
            <w:r w:rsidRPr="00687C79">
              <w:rPr>
                <w:rFonts w:ascii="Gilroy SemiBold" w:hAnsi="Gilroy SemiBold"/>
                <w:b/>
                <w:bCs/>
                <w:color w:val="FFFFFF" w:themeColor="background1"/>
                <w:sz w:val="32"/>
                <w:szCs w:val="32"/>
              </w:rPr>
              <w:t>Green Valley Regional Council</w:t>
            </w:r>
          </w:p>
        </w:tc>
        <w:tc>
          <w:tcPr>
            <w:tcW w:w="567" w:type="dxa"/>
            <w:vAlign w:val="bottom"/>
          </w:tcPr>
          <w:p w14:paraId="018A3089" w14:textId="77777777" w:rsidR="00FF464E" w:rsidRPr="00687C79" w:rsidRDefault="00FF464E" w:rsidP="00FF464E">
            <w:pPr>
              <w:rPr>
                <w:rFonts w:ascii="Gilroy SemiBold" w:hAnsi="Gilroy SemiBold"/>
                <w:b/>
                <w:bCs/>
                <w:color w:val="FFFFFF" w:themeColor="background1"/>
                <w:sz w:val="40"/>
                <w:szCs w:val="40"/>
              </w:rPr>
            </w:pPr>
          </w:p>
        </w:tc>
      </w:tr>
      <w:tr w:rsidR="00FF464E" w:rsidRPr="00687C79" w14:paraId="1CC5295D" w14:textId="77777777" w:rsidTr="00FF464E">
        <w:tc>
          <w:tcPr>
            <w:tcW w:w="851" w:type="dxa"/>
            <w:vAlign w:val="bottom"/>
          </w:tcPr>
          <w:p w14:paraId="6D78FCF9" w14:textId="77777777" w:rsidR="00FF464E" w:rsidRPr="00687C79" w:rsidRDefault="00FF464E" w:rsidP="00FF464E">
            <w:pPr>
              <w:rPr>
                <w:b/>
                <w:bCs/>
                <w:color w:val="FFFFFF" w:themeColor="background1"/>
                <w:sz w:val="40"/>
                <w:szCs w:val="40"/>
              </w:rPr>
            </w:pPr>
          </w:p>
        </w:tc>
        <w:tc>
          <w:tcPr>
            <w:tcW w:w="9214" w:type="dxa"/>
            <w:gridSpan w:val="2"/>
            <w:vAlign w:val="bottom"/>
          </w:tcPr>
          <w:p w14:paraId="558DDF05" w14:textId="77777777" w:rsidR="00FF464E" w:rsidRPr="00687C79" w:rsidRDefault="00FF464E" w:rsidP="00FF464E">
            <w:pPr>
              <w:spacing w:line="360" w:lineRule="auto"/>
              <w:rPr>
                <w:b/>
                <w:bCs/>
                <w:color w:val="FFFFFF" w:themeColor="background1"/>
                <w:sz w:val="20"/>
              </w:rPr>
            </w:pPr>
          </w:p>
          <w:p w14:paraId="3EB19D1B" w14:textId="77777777" w:rsidR="00FF464E" w:rsidRPr="00F65462" w:rsidRDefault="00FF464E" w:rsidP="00FF464E">
            <w:pPr>
              <w:rPr>
                <w:color w:val="FFFFFF" w:themeColor="background1"/>
                <w:sz w:val="22"/>
                <w:szCs w:val="22"/>
              </w:rPr>
            </w:pPr>
            <w:r w:rsidRPr="00F65462">
              <w:rPr>
                <w:color w:val="FFFFFF" w:themeColor="background1"/>
                <w:sz w:val="22"/>
                <w:szCs w:val="22"/>
              </w:rPr>
              <w:t>The project involves the refurbishment and extension of the existing Civic Centre, including demolition of an annex, construction of a new community wing, internal fitout, and associated landscaping and civil works.</w:t>
            </w:r>
          </w:p>
          <w:p w14:paraId="3EE4E9ED" w14:textId="77777777" w:rsidR="00FF464E" w:rsidRDefault="00FF464E" w:rsidP="00FF464E">
            <w:pPr>
              <w:rPr>
                <w:color w:val="FFFFFF" w:themeColor="background1"/>
              </w:rPr>
            </w:pPr>
          </w:p>
          <w:p w14:paraId="6EEF101F" w14:textId="77777777" w:rsidR="00FF464E" w:rsidRDefault="00FF464E" w:rsidP="00FF464E">
            <w:pPr>
              <w:rPr>
                <w:color w:val="FFFFFF" w:themeColor="background1"/>
              </w:rPr>
            </w:pPr>
            <w:r w:rsidRPr="00687C79">
              <w:rPr>
                <w:b/>
                <w:bCs/>
                <w:color w:val="FFFFFF" w:themeColor="background1"/>
              </w:rPr>
              <w:t>Submission Deadline:</w:t>
            </w:r>
            <w:r w:rsidRPr="00687C79">
              <w:rPr>
                <w:color w:val="FFFFFF" w:themeColor="background1"/>
              </w:rPr>
              <w:t xml:space="preserve"> 28/Feb/2026 02:00 PM (UTC+1000)</w:t>
            </w:r>
            <w:r>
              <w:rPr>
                <w:color w:val="FFFFFF" w:themeColor="background1"/>
              </w:rPr>
              <w:br/>
            </w:r>
          </w:p>
          <w:p w14:paraId="644A6C19" w14:textId="77777777" w:rsidR="00FF464E" w:rsidRDefault="00FF464E" w:rsidP="00FF464E">
            <w:pPr>
              <w:rPr>
                <w:color w:val="FFFFFF" w:themeColor="background1"/>
              </w:rPr>
            </w:pPr>
          </w:p>
          <w:p w14:paraId="1621D839" w14:textId="77777777" w:rsidR="00FF464E" w:rsidRPr="00687C79" w:rsidRDefault="00FF464E" w:rsidP="00FF464E">
            <w:pPr>
              <w:tabs>
                <w:tab w:val="right" w:pos="10490"/>
              </w:tabs>
              <w:jc w:val="both"/>
              <w:rPr>
                <w:color w:val="FFFFFF" w:themeColor="background1"/>
              </w:rPr>
            </w:pPr>
            <w:r w:rsidRPr="00A06CB6">
              <w:rPr>
                <w:color w:val="D9D9D9" w:themeColor="background1" w:themeShade="D9"/>
              </w:rPr>
              <w:t>Generated at 2026-01-10</w:t>
            </w:r>
          </w:p>
        </w:tc>
        <w:tc>
          <w:tcPr>
            <w:tcW w:w="567" w:type="dxa"/>
            <w:vAlign w:val="bottom"/>
          </w:tcPr>
          <w:p w14:paraId="2B70ADB8" w14:textId="77777777" w:rsidR="00FF464E" w:rsidRPr="00687C79" w:rsidRDefault="00FF464E" w:rsidP="00FF464E">
            <w:pPr>
              <w:rPr>
                <w:b/>
                <w:bCs/>
                <w:color w:val="FFFFFF" w:themeColor="background1"/>
                <w:sz w:val="40"/>
                <w:szCs w:val="40"/>
              </w:rPr>
            </w:pPr>
          </w:p>
        </w:tc>
      </w:tr>
    </w:tbl>
    <w:p w14:paraId="52D08D21" w14:textId="77777777" w:rsidR="00457DB3" w:rsidRDefault="00457DB3" w:rsidP="00B814FD">
      <w:pPr>
        <w:spacing w:line="480" w:lineRule="auto"/>
        <w:rPr>
          <w:b/>
          <w:bCs/>
          <w:sz w:val="22"/>
          <w:szCs w:val="22"/>
        </w:rPr>
      </w:pPr>
    </w:p>
    <w:p w14:paraId="25C31B9C" w14:textId="77777777" w:rsidR="007B7421" w:rsidRDefault="007B7421" w:rsidP="00B814FD">
      <w:pPr>
        <w:spacing w:line="480" w:lineRule="auto"/>
        <w:rPr>
          <w:b/>
          <w:bCs/>
          <w:sz w:val="22"/>
          <w:szCs w:val="22"/>
        </w:rPr>
      </w:pPr>
    </w:p>
    <w:p w14:paraId="4906E35F" w14:textId="77777777" w:rsidR="00DE3443" w:rsidRDefault="00DE3443">
      <w:pPr>
        <w:rPr>
          <w:b/>
          <w:bCs/>
          <w:sz w:val="22"/>
          <w:szCs w:val="22"/>
        </w:rPr>
      </w:pPr>
      <w:r>
        <w:rPr>
          <w:b/>
          <w:bCs/>
          <w:sz w:val="22"/>
          <w:szCs w:val="22"/>
        </w:rPr>
        <w:br w:type="page"/>
      </w:r>
    </w:p>
    <w:p w14:paraId="284D9A17" w14:textId="77777777" w:rsidR="007B7421" w:rsidRDefault="007B7421" w:rsidP="00B814FD">
      <w:pPr>
        <w:spacing w:line="480" w:lineRule="auto"/>
        <w:rPr>
          <w:b/>
          <w:bCs/>
          <w:sz w:val="22"/>
          <w:szCs w:val="22"/>
        </w:rPr>
        <w:sectPr w:rsidR="007B7421" w:rsidSect="00457DB3">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0" w:footer="0" w:gutter="0"/>
          <w:cols w:space="708"/>
          <w:docGrid w:linePitch="360"/>
        </w:sectPr>
      </w:pPr>
    </w:p>
    <w:p w14:paraId="441D3162" w14:textId="77777777" w:rsidR="00A94D3C" w:rsidRDefault="00A94D3C" w:rsidP="00A94D3C">
      <w:pPr>
        <w:pStyle w:val="ScaleTitle"/>
        <w:rPr>
          <w:b w:val="0"/>
          <w:bCs w:val="0"/>
        </w:rPr>
      </w:pPr>
      <w:r w:rsidRPr="00A94D3C">
        <w:lastRenderedPageBreak/>
        <w:t>NOTE.</w:t>
      </w:r>
      <w:r>
        <w:t xml:space="preserve"> </w:t>
      </w:r>
      <w:r w:rsidRPr="00A94D3C">
        <w:rPr>
          <w:b w:val="0"/>
          <w:bCs w:val="0"/>
        </w:rPr>
        <w:t xml:space="preserve">This review doc is provided to help inform your revisions. The comments and suggestions must </w:t>
      </w:r>
      <w:r w:rsidR="00995A87">
        <w:rPr>
          <w:b w:val="0"/>
          <w:bCs w:val="0"/>
        </w:rPr>
        <w:t xml:space="preserve">be </w:t>
      </w:r>
      <w:r w:rsidRPr="00A94D3C">
        <w:rPr>
          <w:b w:val="0"/>
          <w:bCs w:val="0"/>
        </w:rPr>
        <w:t>integrated back into your draft manually.</w:t>
      </w:r>
    </w:p>
    <w:p w14:paraId="2EFC4BF4" w14:textId="77777777" w:rsidR="00783022" w:rsidRDefault="00783022" w:rsidP="00A94D3C">
      <w:pPr>
        <w:pStyle w:val="ScaleTitle"/>
        <w:rPr>
          <w:b w:val="0"/>
          <w:bCs w:val="0"/>
        </w:rPr>
      </w:pPr>
    </w:p>
    <w:p w14:paraId="1FFA90D5" w14:textId="77777777" w:rsidR="00835B6A" w:rsidRPr="00790A3E" w:rsidRDefault="00835B6A" w:rsidP="00835B6A"/>
    <w:p w14:paraId="6A92EFE7" w14:textId="77777777" w:rsidR="00DA4761" w:rsidRPr="00DA4761" w:rsidRDefault="00835B6A" w:rsidP="00DA4761">
      <w:pPr>
        <w:tabs>
          <w:tab w:val="left" w:pos="1464"/>
        </w:tabs>
        <w:rPr>
          <w:b/>
          <w:bCs/>
          <w:color w:val="812A16"/>
        </w:rPr>
      </w:pPr>
      <w:r>
        <w:rPr>
          <w:b/>
          <w:bCs/>
          <w:color w:val="812A16"/>
        </w:rPr>
        <w:t>C</w:t>
      </w:r>
      <w:r w:rsidR="00DA4761" w:rsidRPr="00DA4761">
        <w:rPr>
          <w:b/>
          <w:bCs/>
          <w:color w:val="812A16"/>
        </w:rPr>
        <w:t>hanges between current and previous draft:</w:t>
      </w:r>
    </w:p>
    <w:p w14:paraId="220A576C" w14:textId="77777777" w:rsidR="00DA4761" w:rsidRPr="00426FF4" w:rsidRDefault="00000000" w:rsidP="00DA4761">
      <w:pPr>
        <w:pStyle w:val="FirstParagraph"/>
        <w:pBdr>
          <w:bottom w:val="single" w:sz="6" w:space="1" w:color="auto"/>
        </w:pBdr>
        <w:rPr>
          <w:sz w:val="18"/>
          <w:szCs w:val="16"/>
        </w:rPr>
      </w:pPr>
      <w:r>
        <w:rPr>
          <w:i/>
          <w:iCs/>
        </w:rPr>
        <w:t>Diff between drafts skipped: only a single draft has been reviewed</w:t>
      </w:r>
    </w:p>
    <w:p w14:paraId="01C8904C" w14:textId="77777777" w:rsidR="00DA4761" w:rsidRPr="00426FF4" w:rsidRDefault="00DA4761" w:rsidP="00DA4761">
      <w:pPr>
        <w:pBdr>
          <w:bottom w:val="single" w:sz="6" w:space="1" w:color="auto"/>
        </w:pBdr>
        <w:rPr>
          <w:sz w:val="18"/>
          <w:szCs w:val="16"/>
        </w:rPr>
      </w:pPr>
    </w:p>
    <w:p w14:paraId="065460B8" w14:textId="77777777" w:rsidR="00835B6A" w:rsidRPr="00790A3E" w:rsidRDefault="00835B6A" w:rsidP="00835B6A"/>
    <w:p w14:paraId="6E0F33A8" w14:textId="77777777" w:rsidR="00DA4761" w:rsidRDefault="00DA4761" w:rsidP="00DA4761"/>
    <w:p w14:paraId="583DA96F" w14:textId="77777777" w:rsidR="00DA4761" w:rsidRPr="00DA4761" w:rsidRDefault="00DA4761" w:rsidP="00DA4761">
      <w:pPr>
        <w:tabs>
          <w:tab w:val="left" w:pos="1464"/>
        </w:tabs>
        <w:rPr>
          <w:b/>
          <w:bCs/>
          <w:color w:val="812A16"/>
        </w:rPr>
      </w:pPr>
      <w:r>
        <w:rPr>
          <w:b/>
          <w:bCs/>
          <w:color w:val="812A16"/>
        </w:rPr>
        <w:t>Comprehensive d</w:t>
      </w:r>
      <w:r w:rsidRPr="00DA4761">
        <w:rPr>
          <w:b/>
          <w:bCs/>
          <w:color w:val="812A16"/>
        </w:rPr>
        <w:t>raft review:</w:t>
      </w:r>
    </w:p>
    <w:p w14:paraId="5099EA27" w14:textId="77777777" w:rsidR="00DA4761" w:rsidRPr="00426FF4" w:rsidRDefault="00000000" w:rsidP="00DA4761">
      <w:pPr>
        <w:pStyle w:val="Heading1"/>
        <w:pBdr>
          <w:bottom w:val="single" w:sz="6" w:space="1" w:color="auto"/>
        </w:pBdr>
        <w:rPr>
          <w:sz w:val="18"/>
          <w:szCs w:val="16"/>
        </w:rPr>
      </w:pPr>
      <w:bookmarkStart w:id="0" w:name="Xa56b6ade7b6dec5d72eb2e6c9adbbd08142d689"/>
      <w:r>
        <w:t>Final Recommendations for Tender RFT-2026-042</w:t>
      </w:r>
    </w:p>
    <w:p w14:paraId="3BB8CA69" w14:textId="77777777" w:rsidR="002543E8" w:rsidRDefault="00000000">
      <w:pPr>
        <w:pStyle w:val="Heading2"/>
      </w:pPr>
      <w:bookmarkStart w:id="1" w:name="general-assessment"/>
      <w:r>
        <w:t>1. General Assessment</w:t>
      </w:r>
    </w:p>
    <w:p w14:paraId="3B39FBBB" w14:textId="77777777" w:rsidR="002543E8" w:rsidRDefault="00000000">
      <w:pPr>
        <w:pStyle w:val="FirstParagraph"/>
      </w:pPr>
      <w:r>
        <w:t xml:space="preserve">The draft submission is technically sound regarding the site-specific constraints (School Zone and Library operational continuity). However, it contains </w:t>
      </w:r>
      <w:r>
        <w:rPr>
          <w:b/>
          <w:bCs/>
        </w:rPr>
        <w:t>critical compliance risks</w:t>
      </w:r>
      <w:r>
        <w:t xml:space="preserve"> that could lead to immediate disqualification. Specifically, the gap in insurance coverage and the confusion regarding “Company Experience” vs. “Personnel Experience” must be resolved. The document also suffers from significant administrative errors (placeholders, missing CV data, and inconsistent team structures) that undermine the professionalism of the bid.</w:t>
      </w:r>
    </w:p>
    <w:p w14:paraId="3A7B09C1" w14:textId="77777777" w:rsidR="002543E8" w:rsidRDefault="00000000">
      <w:pPr>
        <w:pStyle w:val="Heading2"/>
      </w:pPr>
      <w:bookmarkStart w:id="2" w:name="actionable-recommendations"/>
      <w:bookmarkEnd w:id="1"/>
      <w:r>
        <w:t>2. Actionable Recommendations</w:t>
      </w:r>
    </w:p>
    <w:p w14:paraId="1D31FC45" w14:textId="77777777" w:rsidR="002543E8" w:rsidRDefault="00000000">
      <w:pPr>
        <w:pStyle w:val="Heading3"/>
      </w:pPr>
      <w:bookmarkStart w:id="3" w:name="X3309fd6f988606001b33dfbf78b1e5c05ff03e9"/>
      <w:r>
        <w:t>Critical Compliance &amp; Mandatory Requirements</w:t>
      </w:r>
    </w:p>
    <w:p w14:paraId="21A79DAA" w14:textId="77777777" w:rsidR="002543E8" w:rsidRDefault="00000000">
      <w:pPr>
        <w:pStyle w:val="Compact"/>
        <w:numPr>
          <w:ilvl w:val="0"/>
          <w:numId w:val="3"/>
        </w:numPr>
      </w:pPr>
      <w:r>
        <w:rPr>
          <w:b/>
          <w:bCs/>
        </w:rPr>
        <w:t>RECTIFY Public Liability Insurance (Immediate Action):</w:t>
      </w:r>
    </w:p>
    <w:p w14:paraId="365837E2" w14:textId="77777777" w:rsidR="002543E8" w:rsidRDefault="00000000">
      <w:pPr>
        <w:pStyle w:val="Compact"/>
        <w:numPr>
          <w:ilvl w:val="1"/>
          <w:numId w:val="4"/>
        </w:numPr>
      </w:pPr>
      <w:r>
        <w:rPr>
          <w:b/>
          <w:bCs/>
        </w:rPr>
        <w:t>Issue:</w:t>
      </w:r>
      <w:r>
        <w:t xml:space="preserve"> The RFT Mandatory Requirements specify </w:t>
      </w:r>
      <w:r>
        <w:rPr>
          <w:b/>
          <w:bCs/>
        </w:rPr>
        <w:t>$20 Million</w:t>
      </w:r>
      <w:r>
        <w:t xml:space="preserve">. Your Company Background indicates you hold only </w:t>
      </w:r>
      <w:r>
        <w:rPr>
          <w:b/>
          <w:bCs/>
        </w:rPr>
        <w:t>$2,000,000</w:t>
      </w:r>
      <w:r>
        <w:t>.</w:t>
      </w:r>
    </w:p>
    <w:p w14:paraId="7164AA9F" w14:textId="77777777" w:rsidR="002543E8" w:rsidRDefault="00000000">
      <w:pPr>
        <w:pStyle w:val="Compact"/>
        <w:numPr>
          <w:ilvl w:val="1"/>
          <w:numId w:val="4"/>
        </w:numPr>
      </w:pPr>
      <w:r>
        <w:rPr>
          <w:b/>
          <w:bCs/>
        </w:rPr>
        <w:t>Risk:</w:t>
      </w:r>
      <w:r>
        <w:t xml:space="preserve"> Submitting a Certificate of Currency for $2M will result in an automatic “Fail” for the mandatory criteria.</w:t>
      </w:r>
    </w:p>
    <w:p w14:paraId="3DF28794" w14:textId="77777777" w:rsidR="002543E8" w:rsidRDefault="00000000">
      <w:pPr>
        <w:pStyle w:val="Compact"/>
        <w:numPr>
          <w:ilvl w:val="1"/>
          <w:numId w:val="4"/>
        </w:numPr>
      </w:pPr>
      <w:r>
        <w:rPr>
          <w:b/>
          <w:bCs/>
        </w:rPr>
        <w:t>Action:</w:t>
      </w:r>
      <w:r>
        <w:t xml:space="preserve"> Contact your insurance broker immediately to increase coverage or obtain a “Letter of Confirmation” stating coverage will be raised to $20M upon contract award. Update Section 4.3.2 to reflect the actual document you are attaching.</w:t>
      </w:r>
    </w:p>
    <w:p w14:paraId="1C480F4F" w14:textId="77777777" w:rsidR="002543E8" w:rsidRDefault="00000000">
      <w:pPr>
        <w:pStyle w:val="Compact"/>
        <w:numPr>
          <w:ilvl w:val="0"/>
          <w:numId w:val="3"/>
        </w:numPr>
      </w:pPr>
      <w:r>
        <w:rPr>
          <w:b/>
          <w:bCs/>
        </w:rPr>
        <w:t>CLARIFY Experience Criteria Strategy:</w:t>
      </w:r>
    </w:p>
    <w:p w14:paraId="13801BAC" w14:textId="77777777" w:rsidR="002543E8" w:rsidRDefault="00000000">
      <w:pPr>
        <w:pStyle w:val="Compact"/>
        <w:numPr>
          <w:ilvl w:val="1"/>
          <w:numId w:val="5"/>
        </w:numPr>
      </w:pPr>
      <w:r>
        <w:rPr>
          <w:b/>
          <w:bCs/>
        </w:rPr>
        <w:t>Issue:</w:t>
      </w:r>
      <w:r>
        <w:t xml:space="preserve"> The RFT requires three projects </w:t>
      </w:r>
      <w:r>
        <w:rPr>
          <w:b/>
          <w:bCs/>
        </w:rPr>
        <w:t>&gt;$5M</w:t>
      </w:r>
      <w:r>
        <w:t xml:space="preserve">. Your draft lists </w:t>
      </w:r>
      <w:r>
        <w:rPr>
          <w:i/>
          <w:iCs/>
        </w:rPr>
        <w:t>Riverside Library</w:t>
      </w:r>
      <w:r>
        <w:t xml:space="preserve"> ($4.2M). This is non-compliant with the selection criteria.</w:t>
      </w:r>
    </w:p>
    <w:p w14:paraId="34B26463" w14:textId="77777777" w:rsidR="002543E8" w:rsidRDefault="00000000">
      <w:pPr>
        <w:pStyle w:val="Compact"/>
        <w:numPr>
          <w:ilvl w:val="1"/>
          <w:numId w:val="5"/>
        </w:numPr>
      </w:pPr>
      <w:r>
        <w:rPr>
          <w:b/>
          <w:bCs/>
        </w:rPr>
        <w:t>Action:</w:t>
      </w:r>
    </w:p>
    <w:p w14:paraId="3AC1E7B5" w14:textId="77777777" w:rsidR="002543E8" w:rsidRDefault="00000000">
      <w:pPr>
        <w:pStyle w:val="Compact"/>
        <w:numPr>
          <w:ilvl w:val="2"/>
          <w:numId w:val="6"/>
        </w:numPr>
      </w:pPr>
      <w:r>
        <w:rPr>
          <w:b/>
          <w:bCs/>
        </w:rPr>
        <w:t>Option A (Preferred):</w:t>
      </w:r>
      <w:r>
        <w:t xml:space="preserve"> If Apex Horizon Constructions (the entity) delivered the </w:t>
      </w:r>
      <w:r>
        <w:rPr>
          <w:i/>
          <w:iCs/>
        </w:rPr>
        <w:t>Canterbury Council Chambers</w:t>
      </w:r>
      <w:r>
        <w:t xml:space="preserve"> ($6M) listed in David Wu’s CV, swap this project into Schedule 2.1 to meet the value threshold.</w:t>
      </w:r>
    </w:p>
    <w:p w14:paraId="3BE2D801" w14:textId="77777777" w:rsidR="002543E8" w:rsidRDefault="00000000">
      <w:pPr>
        <w:pStyle w:val="Compact"/>
        <w:numPr>
          <w:ilvl w:val="2"/>
          <w:numId w:val="6"/>
        </w:numPr>
      </w:pPr>
      <w:r>
        <w:rPr>
          <w:b/>
          <w:bCs/>
        </w:rPr>
        <w:t>Option B:</w:t>
      </w:r>
      <w:r>
        <w:t xml:space="preserve"> If Canterbury was David Wu’s personal experience at a previous employer, </w:t>
      </w:r>
      <w:r>
        <w:rPr>
          <w:b/>
          <w:bCs/>
        </w:rPr>
        <w:t>do not</w:t>
      </w:r>
      <w:r>
        <w:t xml:space="preserve"> claim it as a Company Case Study (this is misleading conduct). Instead, keep </w:t>
      </w:r>
      <w:r>
        <w:rPr>
          <w:i/>
          <w:iCs/>
        </w:rPr>
        <w:t>Riverside</w:t>
      </w:r>
      <w:r>
        <w:t xml:space="preserve"> but add a clear justification text arguing that its </w:t>
      </w:r>
      <w:r>
        <w:rPr>
          <w:b/>
          <w:bCs/>
        </w:rPr>
        <w:t>functional relevance</w:t>
      </w:r>
      <w:r>
        <w:t xml:space="preserve"> (Library fitout, live environment) outweighs the monetary shortfall.</w:t>
      </w:r>
    </w:p>
    <w:p w14:paraId="0885829F" w14:textId="77777777" w:rsidR="002543E8" w:rsidRDefault="00000000">
      <w:pPr>
        <w:pStyle w:val="Heading3"/>
      </w:pPr>
      <w:bookmarkStart w:id="4" w:name="resourcing-personnel"/>
      <w:bookmarkEnd w:id="3"/>
      <w:r>
        <w:lastRenderedPageBreak/>
        <w:t>Resourcing &amp; Personnel</w:t>
      </w:r>
    </w:p>
    <w:p w14:paraId="04F0C297" w14:textId="77777777" w:rsidR="002543E8" w:rsidRDefault="00000000">
      <w:pPr>
        <w:pStyle w:val="Compact"/>
        <w:numPr>
          <w:ilvl w:val="0"/>
          <w:numId w:val="7"/>
        </w:numPr>
      </w:pPr>
      <w:r>
        <w:rPr>
          <w:b/>
          <w:bCs/>
        </w:rPr>
        <w:t>RESOLVE Role Confusion (Emma Thompson vs. Liam Byrne):</w:t>
      </w:r>
    </w:p>
    <w:p w14:paraId="2365D082" w14:textId="77777777" w:rsidR="002543E8" w:rsidRDefault="00000000">
      <w:pPr>
        <w:pStyle w:val="Compact"/>
        <w:numPr>
          <w:ilvl w:val="1"/>
          <w:numId w:val="8"/>
        </w:numPr>
      </w:pPr>
      <w:r>
        <w:rPr>
          <w:b/>
          <w:bCs/>
        </w:rPr>
        <w:t>Issue:</w:t>
      </w:r>
      <w:r>
        <w:t xml:space="preserve"> Section 5.3 proposes </w:t>
      </w:r>
      <w:r>
        <w:rPr>
          <w:b/>
          <w:bCs/>
        </w:rPr>
        <w:t>Liam Byrne</w:t>
      </w:r>
      <w:r>
        <w:t xml:space="preserve"> as Site Foreman. However, Appendix A includes a CV for </w:t>
      </w:r>
      <w:r>
        <w:rPr>
          <w:b/>
          <w:bCs/>
        </w:rPr>
        <w:t>Emma Thompson</w:t>
      </w:r>
      <w:r>
        <w:t xml:space="preserve"> (Site Manager), who is not mentioned in the team structure.</w:t>
      </w:r>
    </w:p>
    <w:p w14:paraId="13FCC0CE" w14:textId="77777777" w:rsidR="002543E8" w:rsidRDefault="00000000">
      <w:pPr>
        <w:pStyle w:val="Compact"/>
        <w:numPr>
          <w:ilvl w:val="1"/>
          <w:numId w:val="8"/>
        </w:numPr>
      </w:pPr>
      <w:r>
        <w:rPr>
          <w:b/>
          <w:bCs/>
        </w:rPr>
        <w:t>Action:</w:t>
      </w:r>
      <w:r>
        <w:t xml:space="preserve"> Update Section 5.3 to include Emma Thompson as “Site Manager” (supervising Liam) to strengthen the team, OR remove her CV from Appendix A entirely to avoid confusing the assessors about who is running the site.</w:t>
      </w:r>
    </w:p>
    <w:p w14:paraId="627D4D71" w14:textId="77777777" w:rsidR="002543E8" w:rsidRDefault="00000000">
      <w:pPr>
        <w:pStyle w:val="Compact"/>
        <w:numPr>
          <w:ilvl w:val="0"/>
          <w:numId w:val="7"/>
        </w:numPr>
      </w:pPr>
      <w:r>
        <w:rPr>
          <w:b/>
          <w:bCs/>
        </w:rPr>
        <w:t>FIX Raj Patel’s CV:</w:t>
      </w:r>
    </w:p>
    <w:p w14:paraId="7C10C123" w14:textId="77777777" w:rsidR="002543E8" w:rsidRDefault="00000000">
      <w:pPr>
        <w:pStyle w:val="Compact"/>
        <w:numPr>
          <w:ilvl w:val="1"/>
          <w:numId w:val="9"/>
        </w:numPr>
      </w:pPr>
      <w:r>
        <w:rPr>
          <w:b/>
          <w:bCs/>
        </w:rPr>
        <w:t>Issue:</w:t>
      </w:r>
      <w:r>
        <w:t xml:space="preserve"> In Appendix A, Raj Patel’s CV contains placeholder text under “Project Experience” (e.g., “Professional and Academic Positions Held” is listed without the actual role descriptions).</w:t>
      </w:r>
    </w:p>
    <w:p w14:paraId="29CE5ACB" w14:textId="77777777" w:rsidR="002543E8" w:rsidRDefault="00000000">
      <w:pPr>
        <w:pStyle w:val="Compact"/>
        <w:numPr>
          <w:ilvl w:val="1"/>
          <w:numId w:val="9"/>
        </w:numPr>
      </w:pPr>
      <w:r>
        <w:rPr>
          <w:b/>
          <w:bCs/>
        </w:rPr>
        <w:t>Action:</w:t>
      </w:r>
      <w:r>
        <w:t xml:space="preserve"> Populate this section with the specific project details listed in his “Additional Company Context” file (Riverside Library, Highland Medical Centre, etc.).</w:t>
      </w:r>
    </w:p>
    <w:p w14:paraId="6C7DF9FB" w14:textId="77777777" w:rsidR="002543E8" w:rsidRDefault="00000000">
      <w:pPr>
        <w:pStyle w:val="Compact"/>
        <w:numPr>
          <w:ilvl w:val="0"/>
          <w:numId w:val="7"/>
        </w:numPr>
      </w:pPr>
      <w:r>
        <w:rPr>
          <w:b/>
          <w:bCs/>
        </w:rPr>
        <w:t>DISTINGUISH Michael O’Connor’s Experience:</w:t>
      </w:r>
    </w:p>
    <w:p w14:paraId="37EC0307" w14:textId="77777777" w:rsidR="002543E8" w:rsidRDefault="00000000">
      <w:pPr>
        <w:pStyle w:val="Compact"/>
        <w:numPr>
          <w:ilvl w:val="1"/>
          <w:numId w:val="10"/>
        </w:numPr>
      </w:pPr>
      <w:r>
        <w:rPr>
          <w:b/>
          <w:bCs/>
        </w:rPr>
        <w:t>Issue:</w:t>
      </w:r>
      <w:r>
        <w:t xml:space="preserve"> Section 4.2 implies Michael delivered “Green Valley Civic Centre (Stage 1)” as an Apex project.</w:t>
      </w:r>
    </w:p>
    <w:p w14:paraId="743CEC4C" w14:textId="77777777" w:rsidR="002543E8" w:rsidRDefault="00000000">
      <w:pPr>
        <w:pStyle w:val="Compact"/>
        <w:numPr>
          <w:ilvl w:val="1"/>
          <w:numId w:val="10"/>
        </w:numPr>
      </w:pPr>
      <w:r>
        <w:rPr>
          <w:b/>
          <w:bCs/>
        </w:rPr>
        <w:t>Action:</w:t>
      </w:r>
      <w:r>
        <w:t xml:space="preserve"> Explicitly state in the narrative that this was Michael’s </w:t>
      </w:r>
      <w:r>
        <w:rPr>
          <w:b/>
          <w:bCs/>
        </w:rPr>
        <w:t>personal experience</w:t>
      </w:r>
      <w:r>
        <w:t xml:space="preserve"> prior to joining Apex. Failing to distinguish this can be viewed as claiming credit for another builder’s work.</w:t>
      </w:r>
    </w:p>
    <w:p w14:paraId="604207C2" w14:textId="77777777" w:rsidR="002543E8" w:rsidRDefault="00000000">
      <w:pPr>
        <w:pStyle w:val="Heading3"/>
      </w:pPr>
      <w:bookmarkStart w:id="5" w:name="methodology-technical-response"/>
      <w:bookmarkEnd w:id="4"/>
      <w:r>
        <w:t>Methodology &amp; Technical Response</w:t>
      </w:r>
    </w:p>
    <w:p w14:paraId="603089E5" w14:textId="77777777" w:rsidR="002543E8" w:rsidRDefault="00000000">
      <w:pPr>
        <w:pStyle w:val="Compact"/>
        <w:numPr>
          <w:ilvl w:val="0"/>
          <w:numId w:val="11"/>
        </w:numPr>
      </w:pPr>
      <w:r>
        <w:rPr>
          <w:b/>
          <w:bCs/>
        </w:rPr>
        <w:t>HARDEN Traffic Management Statement:</w:t>
      </w:r>
    </w:p>
    <w:p w14:paraId="41271006" w14:textId="77777777" w:rsidR="002543E8" w:rsidRDefault="00000000">
      <w:pPr>
        <w:pStyle w:val="Compact"/>
        <w:numPr>
          <w:ilvl w:val="1"/>
          <w:numId w:val="12"/>
        </w:numPr>
      </w:pPr>
      <w:r>
        <w:rPr>
          <w:b/>
          <w:bCs/>
        </w:rPr>
        <w:t>Issue:</w:t>
      </w:r>
      <w:r>
        <w:t xml:space="preserve"> The RFT specifically restricts heavy vehicles on </w:t>
      </w:r>
      <w:r>
        <w:rPr>
          <w:b/>
          <w:bCs/>
        </w:rPr>
        <w:t>School Lane</w:t>
      </w:r>
      <w:r>
        <w:t>.</w:t>
      </w:r>
    </w:p>
    <w:p w14:paraId="129E9D5C" w14:textId="77777777" w:rsidR="002543E8" w:rsidRDefault="00000000">
      <w:pPr>
        <w:pStyle w:val="Compact"/>
        <w:numPr>
          <w:ilvl w:val="1"/>
          <w:numId w:val="12"/>
        </w:numPr>
      </w:pPr>
      <w:r>
        <w:rPr>
          <w:b/>
          <w:bCs/>
        </w:rPr>
        <w:t>Action:</w:t>
      </w:r>
      <w:r>
        <w:t xml:space="preserve"> In Section 3.2.3 and 5.2.3, explicitly state: </w:t>
      </w:r>
      <w:r>
        <w:rPr>
          <w:i/>
          <w:iCs/>
        </w:rPr>
        <w:t>“Strict prohibition of all construction access via School Lane,”</w:t>
      </w:r>
      <w:r>
        <w:t xml:space="preserve"> rather than just stating traffic will use Eucalyptus Drive. This demonstrates you have read the specific constraint line-by-line.</w:t>
      </w:r>
    </w:p>
    <w:p w14:paraId="6A078A77" w14:textId="77777777" w:rsidR="002543E8" w:rsidRDefault="00000000">
      <w:pPr>
        <w:pStyle w:val="Compact"/>
        <w:numPr>
          <w:ilvl w:val="0"/>
          <w:numId w:val="11"/>
        </w:numPr>
      </w:pPr>
      <w:r>
        <w:rPr>
          <w:b/>
          <w:bCs/>
        </w:rPr>
        <w:t>VERIFY Attachments:</w:t>
      </w:r>
    </w:p>
    <w:p w14:paraId="3E57F257" w14:textId="77777777" w:rsidR="002543E8" w:rsidRDefault="00000000">
      <w:pPr>
        <w:pStyle w:val="Compact"/>
        <w:numPr>
          <w:ilvl w:val="1"/>
          <w:numId w:val="13"/>
        </w:numPr>
      </w:pPr>
      <w:r>
        <w:rPr>
          <w:b/>
          <w:bCs/>
        </w:rPr>
        <w:t>Action:</w:t>
      </w:r>
      <w:r>
        <w:t xml:space="preserve"> Ensure the </w:t>
      </w:r>
      <w:r>
        <w:rPr>
          <w:b/>
          <w:bCs/>
        </w:rPr>
        <w:t>Gantt Chart</w:t>
      </w:r>
      <w:r>
        <w:t xml:space="preserve"> and </w:t>
      </w:r>
      <w:r>
        <w:rPr>
          <w:b/>
          <w:bCs/>
        </w:rPr>
        <w:t>Detailed Bill of Quantities (BOQ)</w:t>
      </w:r>
      <w:r>
        <w:t xml:space="preserve"> are physically attached to the final PDF or listed in the Table of Contents. The current ToC fails to list the BOQ.</w:t>
      </w:r>
    </w:p>
    <w:p w14:paraId="4EF8B7CA" w14:textId="77777777" w:rsidR="002543E8" w:rsidRDefault="00000000">
      <w:pPr>
        <w:pStyle w:val="Heading3"/>
      </w:pPr>
      <w:bookmarkStart w:id="6" w:name="document-hygiene-formatting"/>
      <w:bookmarkEnd w:id="5"/>
      <w:r>
        <w:t>Document Hygiene &amp; Formatting</w:t>
      </w:r>
    </w:p>
    <w:p w14:paraId="36AFA576" w14:textId="77777777" w:rsidR="002543E8" w:rsidRDefault="00000000">
      <w:pPr>
        <w:pStyle w:val="Compact"/>
        <w:numPr>
          <w:ilvl w:val="0"/>
          <w:numId w:val="14"/>
        </w:numPr>
      </w:pPr>
      <w:r>
        <w:rPr>
          <w:b/>
          <w:bCs/>
        </w:rPr>
        <w:t>REMOVE Placeholders:</w:t>
      </w:r>
    </w:p>
    <w:p w14:paraId="0B6B7AFC" w14:textId="77777777" w:rsidR="002543E8" w:rsidRDefault="00000000">
      <w:pPr>
        <w:pStyle w:val="Compact"/>
        <w:numPr>
          <w:ilvl w:val="1"/>
          <w:numId w:val="15"/>
        </w:numPr>
      </w:pPr>
      <w:r>
        <w:t xml:space="preserve">Search for and remove/update: </w:t>
      </w:r>
      <w:r>
        <w:rPr>
          <w:rStyle w:val="VerbatimChar"/>
        </w:rPr>
        <w:t>[REFERENCE]</w:t>
      </w:r>
      <w:r>
        <w:t xml:space="preserve">, </w:t>
      </w:r>
      <w:r>
        <w:rPr>
          <w:rStyle w:val="VerbatimChar"/>
        </w:rPr>
        <w:t>[SUBMISSION_DATE]</w:t>
      </w:r>
      <w:r>
        <w:t xml:space="preserve">, </w:t>
      </w:r>
      <w:r>
        <w:rPr>
          <w:rStyle w:val="VerbatimChar"/>
        </w:rPr>
        <w:t>[telephone]</w:t>
      </w:r>
      <w:r>
        <w:t xml:space="preserve">, </w:t>
      </w:r>
      <w:r>
        <w:rPr>
          <w:rStyle w:val="VerbatimChar"/>
        </w:rPr>
        <w:t>[email]</w:t>
      </w:r>
      <w:r>
        <w:t xml:space="preserve">, </w:t>
      </w:r>
      <w:r>
        <w:rPr>
          <w:rStyle w:val="VerbatimChar"/>
        </w:rPr>
        <w:t>[image]</w:t>
      </w:r>
      <w:r>
        <w:t>, and the test email string in Michael O’Connor’s CV (</w:t>
      </w:r>
      <w:r>
        <w:rPr>
          <w:rStyle w:val="VerbatimChar"/>
        </w:rPr>
        <w:t>m.oconnor@example.com.au.test...</w:t>
      </w:r>
      <w:r>
        <w:t>).</w:t>
      </w:r>
    </w:p>
    <w:p w14:paraId="3559C43A" w14:textId="77777777" w:rsidR="002543E8" w:rsidRDefault="00000000">
      <w:pPr>
        <w:pStyle w:val="Compact"/>
        <w:numPr>
          <w:ilvl w:val="0"/>
          <w:numId w:val="14"/>
        </w:numPr>
      </w:pPr>
      <w:r>
        <w:rPr>
          <w:b/>
          <w:bCs/>
        </w:rPr>
        <w:t>CORRECT Table of Contents (ToC):</w:t>
      </w:r>
    </w:p>
    <w:p w14:paraId="4FC9C521" w14:textId="77777777" w:rsidR="002543E8" w:rsidRDefault="00000000">
      <w:pPr>
        <w:pStyle w:val="Compact"/>
        <w:numPr>
          <w:ilvl w:val="1"/>
          <w:numId w:val="16"/>
        </w:numPr>
      </w:pPr>
      <w:r>
        <w:rPr>
          <w:b/>
          <w:bCs/>
        </w:rPr>
        <w:t>Issue:</w:t>
      </w:r>
      <w:r>
        <w:t xml:space="preserve"> The Draft ToC lists “Executive Summary” twice (Items 1 and 2) and uses erratic numbering (1.1.1 immediately following Chapter 1).</w:t>
      </w:r>
    </w:p>
    <w:p w14:paraId="0A9C5796" w14:textId="77777777" w:rsidR="002543E8" w:rsidRDefault="00000000">
      <w:pPr>
        <w:pStyle w:val="Compact"/>
        <w:numPr>
          <w:ilvl w:val="1"/>
          <w:numId w:val="16"/>
        </w:numPr>
      </w:pPr>
      <w:r>
        <w:rPr>
          <w:b/>
          <w:bCs/>
        </w:rPr>
        <w:t>Action:</w:t>
      </w:r>
      <w:r>
        <w:t xml:space="preserve"> Refresh the Table of Contents to ensure correct hierarchy and verify page numbers match the final PDF.</w:t>
      </w:r>
    </w:p>
    <w:bookmarkEnd w:id="0"/>
    <w:bookmarkEnd w:id="2"/>
    <w:bookmarkEnd w:id="6"/>
    <w:p w14:paraId="2AD8CBBE" w14:textId="77777777" w:rsidR="00DA4761" w:rsidRPr="00426FF4" w:rsidRDefault="00DA4761" w:rsidP="00DA4761">
      <w:pPr>
        <w:pBdr>
          <w:bottom w:val="single" w:sz="6" w:space="1" w:color="auto"/>
        </w:pBdr>
        <w:rPr>
          <w:sz w:val="18"/>
          <w:szCs w:val="16"/>
        </w:rPr>
      </w:pPr>
    </w:p>
    <w:p w14:paraId="5A0CFEFB" w14:textId="77777777" w:rsidR="00DA4761" w:rsidRDefault="00DA4761" w:rsidP="00DA4761"/>
    <w:p w14:paraId="3F9EBD8C" w14:textId="77777777" w:rsidR="00DA4761" w:rsidRDefault="00DA4761" w:rsidP="00DA4761">
      <w:pPr>
        <w:rPr>
          <w:b/>
          <w:bCs/>
          <w:color w:val="812A16"/>
        </w:rPr>
      </w:pPr>
      <w:r w:rsidRPr="00DA4761">
        <w:rPr>
          <w:b/>
          <w:bCs/>
          <w:color w:val="812A16"/>
        </w:rPr>
        <w:t>Suggestions revisions:</w:t>
      </w:r>
    </w:p>
    <w:p w14:paraId="47DA7FF2" w14:textId="77777777" w:rsidR="00DA4761" w:rsidRPr="00426FF4" w:rsidRDefault="00000000" w:rsidP="00DA4761">
      <w:pPr>
        <w:pStyle w:val="Heading1"/>
        <w:rPr>
          <w:sz w:val="18"/>
          <w:szCs w:val="16"/>
        </w:rPr>
      </w:pPr>
      <w:bookmarkStart w:id="7" w:name="X5062af33c0eceb0c8ed20f058992c5791899740"/>
      <w:r>
        <w:lastRenderedPageBreak/>
        <w:t>Revision 1: Cover Page and Header Information</w:t>
      </w:r>
    </w:p>
    <w:p w14:paraId="246B49D2" w14:textId="77777777" w:rsidR="002543E8" w:rsidRDefault="00000000">
      <w:pPr>
        <w:pStyle w:val="FirstParagraph"/>
      </w:pPr>
      <w:r>
        <w:rPr>
          <w:b/>
          <w:bCs/>
        </w:rPr>
        <w:t>Label:</w:t>
      </w:r>
      <w:r>
        <w:t xml:space="preserve"> Front Matter &amp; Header </w:t>
      </w:r>
      <w:r>
        <w:rPr>
          <w:b/>
          <w:bCs/>
        </w:rPr>
        <w:t>Action:</w:t>
      </w:r>
      <w:r>
        <w:t xml:space="preserve"> Remove placeholders and fix administrative data.</w:t>
      </w:r>
    </w:p>
    <w:p w14:paraId="42FBCE23" w14:textId="77777777" w:rsidR="002543E8" w:rsidRDefault="00000000">
      <w:pPr>
        <w:pStyle w:val="BodyText"/>
      </w:pPr>
      <w:r>
        <w:t>Green Valley Regional Council Civic Centre Refurbishment and Community Hub Expansion Reference: RFT-2026-042 | 10 February 2026</w:t>
      </w:r>
    </w:p>
    <w:p w14:paraId="511FEE2E" w14:textId="77777777" w:rsidR="002543E8" w:rsidRDefault="00000000">
      <w:pPr>
        <w:pStyle w:val="Heading1"/>
      </w:pPr>
      <w:bookmarkStart w:id="8" w:name="revision-2-table-of-contents"/>
      <w:bookmarkEnd w:id="7"/>
      <w:r>
        <w:t>Revision 2: Table of Contents</w:t>
      </w:r>
    </w:p>
    <w:p w14:paraId="51012FE7" w14:textId="39A5AF6E" w:rsidR="002543E8" w:rsidRDefault="00000000">
      <w:pPr>
        <w:pStyle w:val="FirstParagraph"/>
      </w:pPr>
      <w:r>
        <w:rPr>
          <w:b/>
          <w:bCs/>
        </w:rPr>
        <w:t>Label:</w:t>
      </w:r>
      <w:r>
        <w:t xml:space="preserve"> Table of Contents </w:t>
      </w:r>
      <w:r>
        <w:rPr>
          <w:b/>
          <w:bCs/>
        </w:rPr>
        <w:t>Action:</w:t>
      </w:r>
      <w:r>
        <w:t xml:space="preserve"> Full replacement to correct </w:t>
      </w:r>
      <w:r w:rsidR="000D0A06">
        <w:t>hi</w:t>
      </w:r>
      <w:r>
        <w:t>erarchy, and include missing Appendices.</w:t>
      </w:r>
    </w:p>
    <w:p w14:paraId="35979EEA" w14:textId="77777777" w:rsidR="002543E8" w:rsidRDefault="00000000">
      <w:pPr>
        <w:pStyle w:val="BodyText"/>
      </w:pPr>
      <w:r>
        <w:rPr>
          <w:b/>
          <w:bCs/>
        </w:rPr>
        <w:t>Table of Contents</w:t>
      </w:r>
    </w:p>
    <w:tbl>
      <w:tblPr>
        <w:tblStyle w:val="Table"/>
        <w:tblW w:w="0" w:type="auto"/>
        <w:tblLook w:val="0020" w:firstRow="1" w:lastRow="0" w:firstColumn="0" w:lastColumn="0" w:noHBand="0" w:noVBand="0"/>
      </w:tblPr>
      <w:tblGrid>
        <w:gridCol w:w="1512"/>
        <w:gridCol w:w="5023"/>
        <w:gridCol w:w="759"/>
      </w:tblGrid>
      <w:tr w:rsidR="002543E8" w14:paraId="3A22F36B" w14:textId="77777777" w:rsidTr="002543E8">
        <w:trPr>
          <w:cnfStyle w:val="100000000000" w:firstRow="1" w:lastRow="0" w:firstColumn="0" w:lastColumn="0" w:oddVBand="0" w:evenVBand="0" w:oddHBand="0" w:evenHBand="0" w:firstRowFirstColumn="0" w:firstRowLastColumn="0" w:lastRowFirstColumn="0" w:lastRowLastColumn="0"/>
          <w:tblHeader/>
        </w:trPr>
        <w:tc>
          <w:tcPr>
            <w:tcW w:w="0" w:type="auto"/>
          </w:tcPr>
          <w:p w14:paraId="14B8435D" w14:textId="77777777" w:rsidR="002543E8" w:rsidRDefault="00000000">
            <w:pPr>
              <w:pStyle w:val="Compact"/>
            </w:pPr>
            <w:r>
              <w:t>Section</w:t>
            </w:r>
          </w:p>
        </w:tc>
        <w:tc>
          <w:tcPr>
            <w:tcW w:w="0" w:type="auto"/>
          </w:tcPr>
          <w:p w14:paraId="7BFCFDC7" w14:textId="77777777" w:rsidR="002543E8" w:rsidRDefault="00000000">
            <w:pPr>
              <w:pStyle w:val="Compact"/>
            </w:pPr>
            <w:r>
              <w:t>Title</w:t>
            </w:r>
          </w:p>
        </w:tc>
        <w:tc>
          <w:tcPr>
            <w:tcW w:w="0" w:type="auto"/>
          </w:tcPr>
          <w:p w14:paraId="33A0C7EF" w14:textId="77777777" w:rsidR="002543E8" w:rsidRDefault="00000000">
            <w:pPr>
              <w:pStyle w:val="Compact"/>
            </w:pPr>
            <w:r>
              <w:t>Page</w:t>
            </w:r>
          </w:p>
        </w:tc>
      </w:tr>
      <w:tr w:rsidR="002543E8" w14:paraId="5B1D0791" w14:textId="77777777">
        <w:tc>
          <w:tcPr>
            <w:tcW w:w="0" w:type="auto"/>
          </w:tcPr>
          <w:p w14:paraId="69E1104F" w14:textId="77777777" w:rsidR="002543E8" w:rsidRDefault="00000000">
            <w:pPr>
              <w:pStyle w:val="Compact"/>
            </w:pPr>
            <w:r>
              <w:rPr>
                <w:b/>
                <w:bCs/>
              </w:rPr>
              <w:t>1</w:t>
            </w:r>
          </w:p>
        </w:tc>
        <w:tc>
          <w:tcPr>
            <w:tcW w:w="0" w:type="auto"/>
          </w:tcPr>
          <w:p w14:paraId="7A3B88A1" w14:textId="77777777" w:rsidR="002543E8" w:rsidRDefault="00000000">
            <w:pPr>
              <w:pStyle w:val="Compact"/>
            </w:pPr>
            <w:r>
              <w:rPr>
                <w:b/>
                <w:bCs/>
              </w:rPr>
              <w:t>Executive Summary</w:t>
            </w:r>
          </w:p>
        </w:tc>
        <w:tc>
          <w:tcPr>
            <w:tcW w:w="0" w:type="auto"/>
          </w:tcPr>
          <w:p w14:paraId="58F571D6" w14:textId="77777777" w:rsidR="002543E8" w:rsidRDefault="00000000">
            <w:pPr>
              <w:pStyle w:val="Compact"/>
            </w:pPr>
            <w:r>
              <w:rPr>
                <w:b/>
                <w:bCs/>
              </w:rPr>
              <w:t>1</w:t>
            </w:r>
          </w:p>
        </w:tc>
      </w:tr>
      <w:tr w:rsidR="002543E8" w14:paraId="2DC77525" w14:textId="77777777">
        <w:tc>
          <w:tcPr>
            <w:tcW w:w="0" w:type="auto"/>
          </w:tcPr>
          <w:p w14:paraId="03B823F1" w14:textId="77777777" w:rsidR="002543E8" w:rsidRDefault="00000000">
            <w:pPr>
              <w:pStyle w:val="Compact"/>
            </w:pPr>
            <w:r>
              <w:t>1.1</w:t>
            </w:r>
          </w:p>
        </w:tc>
        <w:tc>
          <w:tcPr>
            <w:tcW w:w="0" w:type="auto"/>
          </w:tcPr>
          <w:p w14:paraId="4A4774FF" w14:textId="77777777" w:rsidR="002543E8" w:rsidRDefault="00000000">
            <w:pPr>
              <w:pStyle w:val="Compact"/>
            </w:pPr>
            <w:r>
              <w:t>Overview of Offer</w:t>
            </w:r>
          </w:p>
        </w:tc>
        <w:tc>
          <w:tcPr>
            <w:tcW w:w="0" w:type="auto"/>
          </w:tcPr>
          <w:p w14:paraId="32602711" w14:textId="77777777" w:rsidR="002543E8" w:rsidRDefault="00000000">
            <w:pPr>
              <w:pStyle w:val="Compact"/>
            </w:pPr>
            <w:r>
              <w:t>1</w:t>
            </w:r>
          </w:p>
        </w:tc>
      </w:tr>
      <w:tr w:rsidR="002543E8" w14:paraId="2C6159B3" w14:textId="77777777">
        <w:tc>
          <w:tcPr>
            <w:tcW w:w="0" w:type="auto"/>
          </w:tcPr>
          <w:p w14:paraId="57E5C83C" w14:textId="77777777" w:rsidR="002543E8" w:rsidRDefault="00000000">
            <w:pPr>
              <w:pStyle w:val="Compact"/>
            </w:pPr>
            <w:r>
              <w:t>1.2</w:t>
            </w:r>
          </w:p>
        </w:tc>
        <w:tc>
          <w:tcPr>
            <w:tcW w:w="0" w:type="auto"/>
          </w:tcPr>
          <w:p w14:paraId="253F7DB1" w14:textId="77777777" w:rsidR="002543E8" w:rsidRDefault="00000000">
            <w:pPr>
              <w:pStyle w:val="Compact"/>
            </w:pPr>
            <w:r>
              <w:t>Experience and Capability</w:t>
            </w:r>
          </w:p>
        </w:tc>
        <w:tc>
          <w:tcPr>
            <w:tcW w:w="0" w:type="auto"/>
          </w:tcPr>
          <w:p w14:paraId="0FC5A541" w14:textId="77777777" w:rsidR="002543E8" w:rsidRDefault="00000000">
            <w:pPr>
              <w:pStyle w:val="Compact"/>
            </w:pPr>
            <w:r>
              <w:t>1</w:t>
            </w:r>
          </w:p>
        </w:tc>
      </w:tr>
      <w:tr w:rsidR="002543E8" w14:paraId="1A4E6B26" w14:textId="77777777">
        <w:tc>
          <w:tcPr>
            <w:tcW w:w="0" w:type="auto"/>
          </w:tcPr>
          <w:p w14:paraId="2DBAEC83" w14:textId="77777777" w:rsidR="002543E8" w:rsidRDefault="00000000">
            <w:pPr>
              <w:pStyle w:val="Compact"/>
            </w:pPr>
            <w:r>
              <w:t>1.3</w:t>
            </w:r>
          </w:p>
        </w:tc>
        <w:tc>
          <w:tcPr>
            <w:tcW w:w="0" w:type="auto"/>
          </w:tcPr>
          <w:p w14:paraId="7710382D" w14:textId="77777777" w:rsidR="002543E8" w:rsidRDefault="00000000">
            <w:pPr>
              <w:pStyle w:val="Compact"/>
            </w:pPr>
            <w:r>
              <w:t>Methodology: Operational Continuity &amp; Safety</w:t>
            </w:r>
          </w:p>
        </w:tc>
        <w:tc>
          <w:tcPr>
            <w:tcW w:w="0" w:type="auto"/>
          </w:tcPr>
          <w:p w14:paraId="44480757" w14:textId="77777777" w:rsidR="002543E8" w:rsidRDefault="00000000">
            <w:pPr>
              <w:pStyle w:val="Compact"/>
            </w:pPr>
            <w:r>
              <w:t>1</w:t>
            </w:r>
          </w:p>
        </w:tc>
      </w:tr>
      <w:tr w:rsidR="002543E8" w14:paraId="3C675388" w14:textId="77777777">
        <w:tc>
          <w:tcPr>
            <w:tcW w:w="0" w:type="auto"/>
          </w:tcPr>
          <w:p w14:paraId="4D7162C7" w14:textId="77777777" w:rsidR="002543E8" w:rsidRDefault="00000000">
            <w:pPr>
              <w:pStyle w:val="Compact"/>
            </w:pPr>
            <w:r>
              <w:t>1.4</w:t>
            </w:r>
          </w:p>
        </w:tc>
        <w:tc>
          <w:tcPr>
            <w:tcW w:w="0" w:type="auto"/>
          </w:tcPr>
          <w:p w14:paraId="11E73B32" w14:textId="77777777" w:rsidR="002543E8" w:rsidRDefault="00000000">
            <w:pPr>
              <w:pStyle w:val="Compact"/>
            </w:pPr>
            <w:r>
              <w:t>Program Certainty</w:t>
            </w:r>
          </w:p>
        </w:tc>
        <w:tc>
          <w:tcPr>
            <w:tcW w:w="0" w:type="auto"/>
          </w:tcPr>
          <w:p w14:paraId="6ED6AAE7" w14:textId="77777777" w:rsidR="002543E8" w:rsidRDefault="00000000">
            <w:pPr>
              <w:pStyle w:val="Compact"/>
            </w:pPr>
            <w:r>
              <w:t>1</w:t>
            </w:r>
          </w:p>
        </w:tc>
      </w:tr>
      <w:tr w:rsidR="002543E8" w14:paraId="2D853B38" w14:textId="77777777">
        <w:tc>
          <w:tcPr>
            <w:tcW w:w="0" w:type="auto"/>
          </w:tcPr>
          <w:p w14:paraId="62FC6CBC" w14:textId="77777777" w:rsidR="002543E8" w:rsidRDefault="00000000">
            <w:pPr>
              <w:pStyle w:val="Compact"/>
            </w:pPr>
            <w:r>
              <w:t>1.5</w:t>
            </w:r>
          </w:p>
        </w:tc>
        <w:tc>
          <w:tcPr>
            <w:tcW w:w="0" w:type="auto"/>
          </w:tcPr>
          <w:p w14:paraId="08E44A75" w14:textId="77777777" w:rsidR="002543E8" w:rsidRDefault="00000000">
            <w:pPr>
              <w:pStyle w:val="Compact"/>
            </w:pPr>
            <w:r>
              <w:t>Local Industry Participation and Social Value</w:t>
            </w:r>
          </w:p>
        </w:tc>
        <w:tc>
          <w:tcPr>
            <w:tcW w:w="0" w:type="auto"/>
          </w:tcPr>
          <w:p w14:paraId="39091C08" w14:textId="77777777" w:rsidR="002543E8" w:rsidRDefault="00000000">
            <w:pPr>
              <w:pStyle w:val="Compact"/>
            </w:pPr>
            <w:r>
              <w:t>2</w:t>
            </w:r>
          </w:p>
        </w:tc>
      </w:tr>
      <w:tr w:rsidR="002543E8" w14:paraId="1E0DFE8D" w14:textId="77777777">
        <w:tc>
          <w:tcPr>
            <w:tcW w:w="0" w:type="auto"/>
          </w:tcPr>
          <w:p w14:paraId="6B3DA4CA" w14:textId="77777777" w:rsidR="002543E8" w:rsidRDefault="00000000">
            <w:pPr>
              <w:pStyle w:val="Compact"/>
            </w:pPr>
            <w:r>
              <w:t>1.6</w:t>
            </w:r>
          </w:p>
        </w:tc>
        <w:tc>
          <w:tcPr>
            <w:tcW w:w="0" w:type="auto"/>
          </w:tcPr>
          <w:p w14:paraId="36E7C43B" w14:textId="77777777" w:rsidR="002543E8" w:rsidRDefault="00000000">
            <w:pPr>
              <w:pStyle w:val="Compact"/>
            </w:pPr>
            <w:r>
              <w:t>The Project Team</w:t>
            </w:r>
          </w:p>
        </w:tc>
        <w:tc>
          <w:tcPr>
            <w:tcW w:w="0" w:type="auto"/>
          </w:tcPr>
          <w:p w14:paraId="745FE62B" w14:textId="77777777" w:rsidR="002543E8" w:rsidRDefault="00000000">
            <w:pPr>
              <w:pStyle w:val="Compact"/>
            </w:pPr>
            <w:r>
              <w:t>2</w:t>
            </w:r>
          </w:p>
        </w:tc>
      </w:tr>
      <w:tr w:rsidR="002543E8" w14:paraId="0D7A622C" w14:textId="77777777">
        <w:tc>
          <w:tcPr>
            <w:tcW w:w="0" w:type="auto"/>
          </w:tcPr>
          <w:p w14:paraId="19EB35AD" w14:textId="77777777" w:rsidR="002543E8" w:rsidRDefault="00000000">
            <w:pPr>
              <w:pStyle w:val="Compact"/>
            </w:pPr>
            <w:r>
              <w:rPr>
                <w:b/>
                <w:bCs/>
              </w:rPr>
              <w:t>2</w:t>
            </w:r>
          </w:p>
        </w:tc>
        <w:tc>
          <w:tcPr>
            <w:tcW w:w="0" w:type="auto"/>
          </w:tcPr>
          <w:p w14:paraId="6F76E824" w14:textId="77777777" w:rsidR="002543E8" w:rsidRDefault="00000000">
            <w:pPr>
              <w:pStyle w:val="Compact"/>
            </w:pPr>
            <w:r>
              <w:rPr>
                <w:b/>
                <w:bCs/>
              </w:rPr>
              <w:t>Volume 1: Commercial Offer</w:t>
            </w:r>
          </w:p>
        </w:tc>
        <w:tc>
          <w:tcPr>
            <w:tcW w:w="0" w:type="auto"/>
          </w:tcPr>
          <w:p w14:paraId="3FB4930E" w14:textId="77777777" w:rsidR="002543E8" w:rsidRDefault="00000000">
            <w:pPr>
              <w:pStyle w:val="Compact"/>
            </w:pPr>
            <w:r>
              <w:rPr>
                <w:b/>
                <w:bCs/>
              </w:rPr>
              <w:t>3</w:t>
            </w:r>
          </w:p>
        </w:tc>
      </w:tr>
      <w:tr w:rsidR="002543E8" w14:paraId="20A29EC7" w14:textId="77777777">
        <w:tc>
          <w:tcPr>
            <w:tcW w:w="0" w:type="auto"/>
          </w:tcPr>
          <w:p w14:paraId="2B14DC8C" w14:textId="77777777" w:rsidR="002543E8" w:rsidRDefault="00000000">
            <w:pPr>
              <w:pStyle w:val="Compact"/>
            </w:pPr>
            <w:r>
              <w:t>2.1</w:t>
            </w:r>
          </w:p>
        </w:tc>
        <w:tc>
          <w:tcPr>
            <w:tcW w:w="0" w:type="auto"/>
          </w:tcPr>
          <w:p w14:paraId="5A5DA0ED" w14:textId="77777777" w:rsidR="002543E8" w:rsidRDefault="00000000">
            <w:pPr>
              <w:pStyle w:val="Compact"/>
            </w:pPr>
            <w:r>
              <w:t>Schedule 1: Tender Form</w:t>
            </w:r>
          </w:p>
        </w:tc>
        <w:tc>
          <w:tcPr>
            <w:tcW w:w="0" w:type="auto"/>
          </w:tcPr>
          <w:p w14:paraId="54F39B88" w14:textId="77777777" w:rsidR="002543E8" w:rsidRDefault="00000000">
            <w:pPr>
              <w:pStyle w:val="Compact"/>
            </w:pPr>
            <w:r>
              <w:t>3</w:t>
            </w:r>
          </w:p>
        </w:tc>
      </w:tr>
      <w:tr w:rsidR="002543E8" w14:paraId="122D083D" w14:textId="77777777">
        <w:tc>
          <w:tcPr>
            <w:tcW w:w="0" w:type="auto"/>
          </w:tcPr>
          <w:p w14:paraId="19B20120" w14:textId="77777777" w:rsidR="002543E8" w:rsidRDefault="00000000">
            <w:pPr>
              <w:pStyle w:val="Compact"/>
            </w:pPr>
            <w:r>
              <w:t>2.2</w:t>
            </w:r>
          </w:p>
        </w:tc>
        <w:tc>
          <w:tcPr>
            <w:tcW w:w="0" w:type="auto"/>
          </w:tcPr>
          <w:p w14:paraId="5CE1F161" w14:textId="77777777" w:rsidR="002543E8" w:rsidRDefault="00000000">
            <w:pPr>
              <w:pStyle w:val="Compact"/>
            </w:pPr>
            <w:r>
              <w:t>Schedule 3: Pricing Breakdown</w:t>
            </w:r>
          </w:p>
        </w:tc>
        <w:tc>
          <w:tcPr>
            <w:tcW w:w="0" w:type="auto"/>
          </w:tcPr>
          <w:p w14:paraId="62F5FE63" w14:textId="77777777" w:rsidR="002543E8" w:rsidRDefault="00000000">
            <w:pPr>
              <w:pStyle w:val="Compact"/>
            </w:pPr>
            <w:r>
              <w:t>3</w:t>
            </w:r>
          </w:p>
        </w:tc>
      </w:tr>
      <w:tr w:rsidR="002543E8" w14:paraId="5D3DD2A6" w14:textId="77777777">
        <w:tc>
          <w:tcPr>
            <w:tcW w:w="0" w:type="auto"/>
          </w:tcPr>
          <w:p w14:paraId="64A1D1B1" w14:textId="77777777" w:rsidR="002543E8" w:rsidRDefault="00000000">
            <w:pPr>
              <w:pStyle w:val="Compact"/>
            </w:pPr>
            <w:r>
              <w:t>2.3</w:t>
            </w:r>
          </w:p>
        </w:tc>
        <w:tc>
          <w:tcPr>
            <w:tcW w:w="0" w:type="auto"/>
          </w:tcPr>
          <w:p w14:paraId="2EF662B8" w14:textId="77777777" w:rsidR="002543E8" w:rsidRDefault="00000000">
            <w:pPr>
              <w:pStyle w:val="Compact"/>
            </w:pPr>
            <w:r>
              <w:t>Mandatory Requirements</w:t>
            </w:r>
          </w:p>
        </w:tc>
        <w:tc>
          <w:tcPr>
            <w:tcW w:w="0" w:type="auto"/>
          </w:tcPr>
          <w:p w14:paraId="3D360A81" w14:textId="77777777" w:rsidR="002543E8" w:rsidRDefault="00000000">
            <w:pPr>
              <w:pStyle w:val="Compact"/>
            </w:pPr>
            <w:r>
              <w:t>4</w:t>
            </w:r>
          </w:p>
        </w:tc>
      </w:tr>
      <w:tr w:rsidR="002543E8" w14:paraId="1B99FD3F" w14:textId="77777777">
        <w:tc>
          <w:tcPr>
            <w:tcW w:w="0" w:type="auto"/>
          </w:tcPr>
          <w:p w14:paraId="27C717B4" w14:textId="77777777" w:rsidR="002543E8" w:rsidRDefault="00000000">
            <w:pPr>
              <w:pStyle w:val="Compact"/>
            </w:pPr>
            <w:r>
              <w:t>2.4</w:t>
            </w:r>
          </w:p>
        </w:tc>
        <w:tc>
          <w:tcPr>
            <w:tcW w:w="0" w:type="auto"/>
          </w:tcPr>
          <w:p w14:paraId="1BE50F5D" w14:textId="77777777" w:rsidR="002543E8" w:rsidRDefault="00000000">
            <w:pPr>
              <w:pStyle w:val="Compact"/>
            </w:pPr>
            <w:r>
              <w:t>Financial Capacity</w:t>
            </w:r>
          </w:p>
        </w:tc>
        <w:tc>
          <w:tcPr>
            <w:tcW w:w="0" w:type="auto"/>
          </w:tcPr>
          <w:p w14:paraId="3D8B1463" w14:textId="77777777" w:rsidR="002543E8" w:rsidRDefault="00000000">
            <w:pPr>
              <w:pStyle w:val="Compact"/>
            </w:pPr>
            <w:r>
              <w:t>5</w:t>
            </w:r>
          </w:p>
        </w:tc>
      </w:tr>
      <w:tr w:rsidR="002543E8" w14:paraId="0E091C3F" w14:textId="77777777">
        <w:tc>
          <w:tcPr>
            <w:tcW w:w="0" w:type="auto"/>
          </w:tcPr>
          <w:p w14:paraId="7D952736" w14:textId="77777777" w:rsidR="002543E8" w:rsidRDefault="00000000">
            <w:pPr>
              <w:pStyle w:val="Compact"/>
            </w:pPr>
            <w:r>
              <w:rPr>
                <w:b/>
                <w:bCs/>
              </w:rPr>
              <w:t>3</w:t>
            </w:r>
          </w:p>
        </w:tc>
        <w:tc>
          <w:tcPr>
            <w:tcW w:w="0" w:type="auto"/>
          </w:tcPr>
          <w:p w14:paraId="5E0E2DD7" w14:textId="77777777" w:rsidR="002543E8" w:rsidRDefault="00000000">
            <w:pPr>
              <w:pStyle w:val="Compact"/>
            </w:pPr>
            <w:r>
              <w:rPr>
                <w:b/>
                <w:bCs/>
              </w:rPr>
              <w:t>Volume 2: Technical Response</w:t>
            </w:r>
          </w:p>
        </w:tc>
        <w:tc>
          <w:tcPr>
            <w:tcW w:w="0" w:type="auto"/>
          </w:tcPr>
          <w:p w14:paraId="6101683F" w14:textId="77777777" w:rsidR="002543E8" w:rsidRDefault="00000000">
            <w:pPr>
              <w:pStyle w:val="Compact"/>
            </w:pPr>
            <w:r>
              <w:rPr>
                <w:b/>
                <w:bCs/>
              </w:rPr>
              <w:t>5</w:t>
            </w:r>
          </w:p>
        </w:tc>
      </w:tr>
      <w:tr w:rsidR="002543E8" w14:paraId="2A50466A" w14:textId="77777777">
        <w:tc>
          <w:tcPr>
            <w:tcW w:w="0" w:type="auto"/>
          </w:tcPr>
          <w:p w14:paraId="0E8D4AD2" w14:textId="77777777" w:rsidR="002543E8" w:rsidRDefault="00000000">
            <w:pPr>
              <w:pStyle w:val="Compact"/>
            </w:pPr>
            <w:r>
              <w:t>3.1</w:t>
            </w:r>
          </w:p>
        </w:tc>
        <w:tc>
          <w:tcPr>
            <w:tcW w:w="0" w:type="auto"/>
          </w:tcPr>
          <w:p w14:paraId="5D7C1B07" w14:textId="77777777" w:rsidR="002543E8" w:rsidRDefault="00000000">
            <w:pPr>
              <w:pStyle w:val="Compact"/>
            </w:pPr>
            <w:r>
              <w:t>Schedule 2.1: Relevant Experience</w:t>
            </w:r>
          </w:p>
        </w:tc>
        <w:tc>
          <w:tcPr>
            <w:tcW w:w="0" w:type="auto"/>
          </w:tcPr>
          <w:p w14:paraId="7D25B2FB" w14:textId="77777777" w:rsidR="002543E8" w:rsidRDefault="00000000">
            <w:pPr>
              <w:pStyle w:val="Compact"/>
            </w:pPr>
            <w:r>
              <w:t>5</w:t>
            </w:r>
          </w:p>
        </w:tc>
      </w:tr>
      <w:tr w:rsidR="002543E8" w14:paraId="0EE51C35" w14:textId="77777777">
        <w:tc>
          <w:tcPr>
            <w:tcW w:w="0" w:type="auto"/>
          </w:tcPr>
          <w:p w14:paraId="64AA1477" w14:textId="77777777" w:rsidR="002543E8" w:rsidRDefault="00000000">
            <w:pPr>
              <w:pStyle w:val="Compact"/>
            </w:pPr>
            <w:r>
              <w:t>3.2</w:t>
            </w:r>
          </w:p>
        </w:tc>
        <w:tc>
          <w:tcPr>
            <w:tcW w:w="0" w:type="auto"/>
          </w:tcPr>
          <w:p w14:paraId="6BE00FC4" w14:textId="77777777" w:rsidR="002543E8" w:rsidRDefault="00000000">
            <w:pPr>
              <w:pStyle w:val="Compact"/>
            </w:pPr>
            <w:r>
              <w:t>Schedule 2.2: Methodology and Program</w:t>
            </w:r>
          </w:p>
        </w:tc>
        <w:tc>
          <w:tcPr>
            <w:tcW w:w="0" w:type="auto"/>
          </w:tcPr>
          <w:p w14:paraId="0DC9B9AF" w14:textId="77777777" w:rsidR="002543E8" w:rsidRDefault="00000000">
            <w:pPr>
              <w:pStyle w:val="Compact"/>
            </w:pPr>
            <w:r>
              <w:t>7</w:t>
            </w:r>
          </w:p>
        </w:tc>
      </w:tr>
      <w:tr w:rsidR="002543E8" w14:paraId="7536B787" w14:textId="77777777">
        <w:tc>
          <w:tcPr>
            <w:tcW w:w="0" w:type="auto"/>
          </w:tcPr>
          <w:p w14:paraId="0677E87C" w14:textId="77777777" w:rsidR="002543E8" w:rsidRDefault="00000000">
            <w:pPr>
              <w:pStyle w:val="Compact"/>
            </w:pPr>
            <w:r>
              <w:t>3.3</w:t>
            </w:r>
          </w:p>
        </w:tc>
        <w:tc>
          <w:tcPr>
            <w:tcW w:w="0" w:type="auto"/>
          </w:tcPr>
          <w:p w14:paraId="411E9E9C" w14:textId="77777777" w:rsidR="002543E8" w:rsidRDefault="00000000">
            <w:pPr>
              <w:pStyle w:val="Compact"/>
            </w:pPr>
            <w:r>
              <w:t>Schedule 2.3: Key Personnel</w:t>
            </w:r>
          </w:p>
        </w:tc>
        <w:tc>
          <w:tcPr>
            <w:tcW w:w="0" w:type="auto"/>
          </w:tcPr>
          <w:p w14:paraId="4EB79E0A" w14:textId="77777777" w:rsidR="002543E8" w:rsidRDefault="00000000">
            <w:pPr>
              <w:pStyle w:val="Compact"/>
            </w:pPr>
            <w:r>
              <w:t>10</w:t>
            </w:r>
          </w:p>
        </w:tc>
      </w:tr>
      <w:tr w:rsidR="002543E8" w14:paraId="1E17225F" w14:textId="77777777">
        <w:tc>
          <w:tcPr>
            <w:tcW w:w="0" w:type="auto"/>
          </w:tcPr>
          <w:p w14:paraId="4F2BA456" w14:textId="77777777" w:rsidR="002543E8" w:rsidRDefault="00000000">
            <w:pPr>
              <w:pStyle w:val="Compact"/>
            </w:pPr>
            <w:r>
              <w:t>3.4</w:t>
            </w:r>
          </w:p>
        </w:tc>
        <w:tc>
          <w:tcPr>
            <w:tcW w:w="0" w:type="auto"/>
          </w:tcPr>
          <w:p w14:paraId="584C5F77" w14:textId="77777777" w:rsidR="002543E8" w:rsidRDefault="00000000">
            <w:pPr>
              <w:pStyle w:val="Compact"/>
            </w:pPr>
            <w:r>
              <w:t>Schedule 2.4: WHS and Quality Assurance</w:t>
            </w:r>
          </w:p>
        </w:tc>
        <w:tc>
          <w:tcPr>
            <w:tcW w:w="0" w:type="auto"/>
          </w:tcPr>
          <w:p w14:paraId="04F74B79" w14:textId="77777777" w:rsidR="002543E8" w:rsidRDefault="00000000">
            <w:pPr>
              <w:pStyle w:val="Compact"/>
            </w:pPr>
            <w:r>
              <w:t>11</w:t>
            </w:r>
          </w:p>
        </w:tc>
      </w:tr>
      <w:tr w:rsidR="002543E8" w14:paraId="78A400D2" w14:textId="77777777">
        <w:tc>
          <w:tcPr>
            <w:tcW w:w="0" w:type="auto"/>
          </w:tcPr>
          <w:p w14:paraId="788E5FF0" w14:textId="77777777" w:rsidR="002543E8" w:rsidRDefault="00000000">
            <w:pPr>
              <w:pStyle w:val="Compact"/>
            </w:pPr>
            <w:r>
              <w:t>3.5</w:t>
            </w:r>
          </w:p>
        </w:tc>
        <w:tc>
          <w:tcPr>
            <w:tcW w:w="0" w:type="auto"/>
          </w:tcPr>
          <w:p w14:paraId="09037AB1" w14:textId="77777777" w:rsidR="002543E8" w:rsidRDefault="00000000">
            <w:pPr>
              <w:pStyle w:val="Compact"/>
            </w:pPr>
            <w:r>
              <w:t>Local Industry Participation</w:t>
            </w:r>
          </w:p>
        </w:tc>
        <w:tc>
          <w:tcPr>
            <w:tcW w:w="0" w:type="auto"/>
          </w:tcPr>
          <w:p w14:paraId="65869F8E" w14:textId="77777777" w:rsidR="002543E8" w:rsidRDefault="00000000">
            <w:pPr>
              <w:pStyle w:val="Compact"/>
            </w:pPr>
            <w:r>
              <w:t>12</w:t>
            </w:r>
          </w:p>
        </w:tc>
      </w:tr>
      <w:tr w:rsidR="002543E8" w14:paraId="498EE96D" w14:textId="77777777">
        <w:tc>
          <w:tcPr>
            <w:tcW w:w="0" w:type="auto"/>
          </w:tcPr>
          <w:p w14:paraId="46C06A41" w14:textId="77777777" w:rsidR="002543E8" w:rsidRDefault="00000000">
            <w:pPr>
              <w:pStyle w:val="Compact"/>
            </w:pPr>
            <w:r>
              <w:rPr>
                <w:b/>
                <w:bCs/>
              </w:rPr>
              <w:t>4</w:t>
            </w:r>
          </w:p>
        </w:tc>
        <w:tc>
          <w:tcPr>
            <w:tcW w:w="0" w:type="auto"/>
          </w:tcPr>
          <w:p w14:paraId="5EB92417" w14:textId="77777777" w:rsidR="002543E8" w:rsidRDefault="00000000">
            <w:pPr>
              <w:pStyle w:val="Compact"/>
            </w:pPr>
            <w:r>
              <w:rPr>
                <w:b/>
                <w:bCs/>
              </w:rPr>
              <w:t>Volume 3: Supporting Documentation</w:t>
            </w:r>
          </w:p>
        </w:tc>
        <w:tc>
          <w:tcPr>
            <w:tcW w:w="0" w:type="auto"/>
          </w:tcPr>
          <w:p w14:paraId="7FAA7672" w14:textId="77777777" w:rsidR="002543E8" w:rsidRDefault="00000000">
            <w:pPr>
              <w:pStyle w:val="Compact"/>
            </w:pPr>
            <w:r>
              <w:rPr>
                <w:b/>
                <w:bCs/>
              </w:rPr>
              <w:t>13</w:t>
            </w:r>
          </w:p>
        </w:tc>
      </w:tr>
      <w:tr w:rsidR="002543E8" w14:paraId="42A7AAB6" w14:textId="77777777">
        <w:tc>
          <w:tcPr>
            <w:tcW w:w="0" w:type="auto"/>
          </w:tcPr>
          <w:p w14:paraId="0A9DD7BD" w14:textId="77777777" w:rsidR="002543E8" w:rsidRDefault="00000000">
            <w:pPr>
              <w:pStyle w:val="Compact"/>
            </w:pPr>
            <w:r>
              <w:t>4.1</w:t>
            </w:r>
          </w:p>
        </w:tc>
        <w:tc>
          <w:tcPr>
            <w:tcW w:w="0" w:type="auto"/>
          </w:tcPr>
          <w:p w14:paraId="646A18AB" w14:textId="77777777" w:rsidR="002543E8" w:rsidRDefault="00000000">
            <w:pPr>
              <w:pStyle w:val="Compact"/>
            </w:pPr>
            <w:r>
              <w:t>Company Profile</w:t>
            </w:r>
          </w:p>
        </w:tc>
        <w:tc>
          <w:tcPr>
            <w:tcW w:w="0" w:type="auto"/>
          </w:tcPr>
          <w:p w14:paraId="55413C00" w14:textId="77777777" w:rsidR="002543E8" w:rsidRDefault="00000000">
            <w:pPr>
              <w:pStyle w:val="Compact"/>
            </w:pPr>
            <w:r>
              <w:t>13</w:t>
            </w:r>
          </w:p>
        </w:tc>
      </w:tr>
      <w:tr w:rsidR="002543E8" w14:paraId="7C22E335" w14:textId="77777777">
        <w:tc>
          <w:tcPr>
            <w:tcW w:w="0" w:type="auto"/>
          </w:tcPr>
          <w:p w14:paraId="354CD25F" w14:textId="77777777" w:rsidR="002543E8" w:rsidRDefault="00000000">
            <w:pPr>
              <w:pStyle w:val="Compact"/>
            </w:pPr>
            <w:r>
              <w:t>4.2</w:t>
            </w:r>
          </w:p>
        </w:tc>
        <w:tc>
          <w:tcPr>
            <w:tcW w:w="0" w:type="auto"/>
          </w:tcPr>
          <w:p w14:paraId="5F2F6093" w14:textId="77777777" w:rsidR="002543E8" w:rsidRDefault="00000000">
            <w:pPr>
              <w:pStyle w:val="Compact"/>
            </w:pPr>
            <w:r>
              <w:t>Case Studies</w:t>
            </w:r>
          </w:p>
        </w:tc>
        <w:tc>
          <w:tcPr>
            <w:tcW w:w="0" w:type="auto"/>
          </w:tcPr>
          <w:p w14:paraId="3798CDFB" w14:textId="77777777" w:rsidR="002543E8" w:rsidRDefault="00000000">
            <w:pPr>
              <w:pStyle w:val="Compact"/>
            </w:pPr>
            <w:r>
              <w:t>13</w:t>
            </w:r>
          </w:p>
        </w:tc>
      </w:tr>
      <w:tr w:rsidR="002543E8" w14:paraId="1C033B64" w14:textId="77777777">
        <w:tc>
          <w:tcPr>
            <w:tcW w:w="0" w:type="auto"/>
          </w:tcPr>
          <w:p w14:paraId="61735DF7" w14:textId="77777777" w:rsidR="002543E8" w:rsidRDefault="00000000">
            <w:pPr>
              <w:pStyle w:val="Compact"/>
            </w:pPr>
            <w:r>
              <w:rPr>
                <w:b/>
                <w:bCs/>
              </w:rPr>
              <w:t>Appendix A</w:t>
            </w:r>
          </w:p>
        </w:tc>
        <w:tc>
          <w:tcPr>
            <w:tcW w:w="0" w:type="auto"/>
          </w:tcPr>
          <w:p w14:paraId="21E8B45C" w14:textId="77777777" w:rsidR="002543E8" w:rsidRDefault="00000000">
            <w:pPr>
              <w:pStyle w:val="Compact"/>
            </w:pPr>
            <w:r>
              <w:rPr>
                <w:b/>
                <w:bCs/>
              </w:rPr>
              <w:t>Curriculum Vitae</w:t>
            </w:r>
          </w:p>
        </w:tc>
        <w:tc>
          <w:tcPr>
            <w:tcW w:w="0" w:type="auto"/>
          </w:tcPr>
          <w:p w14:paraId="775BE8E9" w14:textId="77777777" w:rsidR="002543E8" w:rsidRDefault="00000000">
            <w:pPr>
              <w:pStyle w:val="Compact"/>
            </w:pPr>
            <w:r>
              <w:rPr>
                <w:b/>
                <w:bCs/>
              </w:rPr>
              <w:t>15</w:t>
            </w:r>
          </w:p>
        </w:tc>
      </w:tr>
      <w:tr w:rsidR="002543E8" w14:paraId="5EF25933" w14:textId="77777777">
        <w:tc>
          <w:tcPr>
            <w:tcW w:w="0" w:type="auto"/>
          </w:tcPr>
          <w:p w14:paraId="430A31D6" w14:textId="77777777" w:rsidR="002543E8" w:rsidRDefault="00000000">
            <w:pPr>
              <w:pStyle w:val="Compact"/>
            </w:pPr>
            <w:r>
              <w:rPr>
                <w:b/>
                <w:bCs/>
              </w:rPr>
              <w:t>Appendix B</w:t>
            </w:r>
          </w:p>
        </w:tc>
        <w:tc>
          <w:tcPr>
            <w:tcW w:w="0" w:type="auto"/>
          </w:tcPr>
          <w:p w14:paraId="7926B5A8" w14:textId="77777777" w:rsidR="002543E8" w:rsidRDefault="00000000">
            <w:pPr>
              <w:pStyle w:val="Compact"/>
            </w:pPr>
            <w:r>
              <w:rPr>
                <w:b/>
                <w:bCs/>
              </w:rPr>
              <w:t>Insurance Certificates</w:t>
            </w:r>
          </w:p>
        </w:tc>
        <w:tc>
          <w:tcPr>
            <w:tcW w:w="0" w:type="auto"/>
          </w:tcPr>
          <w:p w14:paraId="5D13E2D8" w14:textId="77777777" w:rsidR="002543E8" w:rsidRDefault="00000000">
            <w:pPr>
              <w:pStyle w:val="Compact"/>
            </w:pPr>
            <w:r>
              <w:rPr>
                <w:b/>
                <w:bCs/>
              </w:rPr>
              <w:t>25</w:t>
            </w:r>
          </w:p>
        </w:tc>
      </w:tr>
      <w:tr w:rsidR="002543E8" w14:paraId="5E74B024" w14:textId="77777777">
        <w:tc>
          <w:tcPr>
            <w:tcW w:w="0" w:type="auto"/>
          </w:tcPr>
          <w:p w14:paraId="1254E67A" w14:textId="77777777" w:rsidR="002543E8" w:rsidRDefault="00000000">
            <w:pPr>
              <w:pStyle w:val="Compact"/>
            </w:pPr>
            <w:r>
              <w:rPr>
                <w:b/>
                <w:bCs/>
              </w:rPr>
              <w:t>Appendix C</w:t>
            </w:r>
          </w:p>
        </w:tc>
        <w:tc>
          <w:tcPr>
            <w:tcW w:w="0" w:type="auto"/>
          </w:tcPr>
          <w:p w14:paraId="5E1A8DD7" w14:textId="77777777" w:rsidR="002543E8" w:rsidRDefault="00000000">
            <w:pPr>
              <w:pStyle w:val="Compact"/>
            </w:pPr>
            <w:r>
              <w:rPr>
                <w:b/>
                <w:bCs/>
              </w:rPr>
              <w:t>Detailed Bill of Quantities (BOQ)</w:t>
            </w:r>
          </w:p>
        </w:tc>
        <w:tc>
          <w:tcPr>
            <w:tcW w:w="0" w:type="auto"/>
          </w:tcPr>
          <w:p w14:paraId="3BC061CC" w14:textId="77777777" w:rsidR="002543E8" w:rsidRDefault="00000000">
            <w:pPr>
              <w:pStyle w:val="Compact"/>
            </w:pPr>
            <w:r>
              <w:rPr>
                <w:b/>
                <w:bCs/>
              </w:rPr>
              <w:t>27</w:t>
            </w:r>
          </w:p>
        </w:tc>
      </w:tr>
      <w:tr w:rsidR="002543E8" w14:paraId="09BCC583" w14:textId="77777777">
        <w:tc>
          <w:tcPr>
            <w:tcW w:w="0" w:type="auto"/>
          </w:tcPr>
          <w:p w14:paraId="3D963789" w14:textId="77777777" w:rsidR="002543E8" w:rsidRDefault="00000000">
            <w:pPr>
              <w:pStyle w:val="Compact"/>
            </w:pPr>
            <w:r>
              <w:rPr>
                <w:b/>
                <w:bCs/>
              </w:rPr>
              <w:t>Appendix D</w:t>
            </w:r>
          </w:p>
        </w:tc>
        <w:tc>
          <w:tcPr>
            <w:tcW w:w="0" w:type="auto"/>
          </w:tcPr>
          <w:p w14:paraId="46DD502C" w14:textId="77777777" w:rsidR="002543E8" w:rsidRDefault="00000000">
            <w:pPr>
              <w:pStyle w:val="Compact"/>
            </w:pPr>
            <w:r>
              <w:rPr>
                <w:b/>
                <w:bCs/>
              </w:rPr>
              <w:t>Gantt Chart Program</w:t>
            </w:r>
          </w:p>
        </w:tc>
        <w:tc>
          <w:tcPr>
            <w:tcW w:w="0" w:type="auto"/>
          </w:tcPr>
          <w:p w14:paraId="335973D0" w14:textId="77777777" w:rsidR="002543E8" w:rsidRDefault="00000000">
            <w:pPr>
              <w:pStyle w:val="Compact"/>
            </w:pPr>
            <w:r>
              <w:rPr>
                <w:b/>
                <w:bCs/>
              </w:rPr>
              <w:t>35</w:t>
            </w:r>
          </w:p>
        </w:tc>
      </w:tr>
    </w:tbl>
    <w:p w14:paraId="29F1E8FD" w14:textId="77777777" w:rsidR="002543E8" w:rsidRDefault="00000000">
      <w:pPr>
        <w:pStyle w:val="Heading1"/>
      </w:pPr>
      <w:bookmarkStart w:id="9" w:name="X6f71d363410b043e4caa1fe7b64ab82a6b0bbff"/>
      <w:bookmarkEnd w:id="8"/>
      <w:r>
        <w:t>Revision 3: Executive Summary - Experience</w:t>
      </w:r>
    </w:p>
    <w:p w14:paraId="408406CE" w14:textId="77777777" w:rsidR="002543E8" w:rsidRDefault="00000000">
      <w:pPr>
        <w:pStyle w:val="FirstParagraph"/>
      </w:pPr>
      <w:r>
        <w:rPr>
          <w:b/>
          <w:bCs/>
        </w:rPr>
        <w:t>Label:</w:t>
      </w:r>
      <w:r>
        <w:t xml:space="preserve"> Section 1.1.2 (Renumbered as 1.2 Experience and Capability) </w:t>
      </w:r>
      <w:r>
        <w:rPr>
          <w:b/>
          <w:bCs/>
        </w:rPr>
        <w:t>Action:</w:t>
      </w:r>
      <w:r>
        <w:t xml:space="preserve"> Add justification for the &lt;$5M case study to address compliance risk.</w:t>
      </w:r>
    </w:p>
    <w:p w14:paraId="2405DEF6" w14:textId="77777777" w:rsidR="002543E8" w:rsidRDefault="00000000">
      <w:pPr>
        <w:pStyle w:val="BodyText"/>
      </w:pPr>
      <w:r>
        <w:rPr>
          <w:b/>
          <w:bCs/>
        </w:rPr>
        <w:lastRenderedPageBreak/>
        <w:t>1.2 Experience and Capability</w:t>
      </w:r>
      <w:r>
        <w:t xml:space="preserve"> Our confidence in delivering this project is founded on recent, directly relevant experience. We have successfully delivered over $400 million in projects, with a specific focus on community and civic infrastructure.</w:t>
      </w:r>
    </w:p>
    <w:p w14:paraId="104739D8" w14:textId="77777777" w:rsidR="002543E8" w:rsidRDefault="00000000">
      <w:pPr>
        <w:pStyle w:val="Compact"/>
        <w:numPr>
          <w:ilvl w:val="0"/>
          <w:numId w:val="17"/>
        </w:numPr>
      </w:pPr>
      <w:r>
        <w:rPr>
          <w:b/>
          <w:bCs/>
        </w:rPr>
        <w:t>Relevant Complexity:</w:t>
      </w:r>
      <w:r>
        <w:t xml:space="preserve"> We recently completed the Riverside Library &amp; Digital Hub ($4.2M) and the West End Primary School STEM Precinct ($5.5M). While the Riverside project value sits slightly below the $5M threshold, we have included it as a primary case study due to its extreme functional relevance. It required the exact adaptive reuse, live environment management, and high-specification fitout challenges present in the Green Valley scope.</w:t>
      </w:r>
    </w:p>
    <w:p w14:paraId="1782C8F8" w14:textId="77777777" w:rsidR="002543E8" w:rsidRDefault="00000000">
      <w:pPr>
        <w:pStyle w:val="Compact"/>
        <w:numPr>
          <w:ilvl w:val="0"/>
          <w:numId w:val="17"/>
        </w:numPr>
      </w:pPr>
      <w:r>
        <w:rPr>
          <w:b/>
          <w:bCs/>
        </w:rPr>
        <w:t>Capacity to Deliver:</w:t>
      </w:r>
      <w:r>
        <w:t xml:space="preserve"> With an annual turnover of $65 Million and a bonding facility of $30 Million, we possess the financial depth to manage project cash flow independently, shielding the Council from supply chain insolvency risks.</w:t>
      </w:r>
    </w:p>
    <w:p w14:paraId="0F64A019" w14:textId="77777777" w:rsidR="002543E8" w:rsidRDefault="00000000">
      <w:pPr>
        <w:pStyle w:val="Compact"/>
        <w:numPr>
          <w:ilvl w:val="0"/>
          <w:numId w:val="17"/>
        </w:numPr>
      </w:pPr>
      <w:r>
        <w:rPr>
          <w:b/>
          <w:bCs/>
        </w:rPr>
        <w:t>Safety Excellence:</w:t>
      </w:r>
      <w:r>
        <w:t xml:space="preserve"> Our safety culture is driven by a unique clinical perspective. Under our ISO 45001 certified system, we have maintained a Lost Time Injury (LTI) Frequency Rate of 0.0 for three consecutive years.</w:t>
      </w:r>
    </w:p>
    <w:p w14:paraId="225E95EF" w14:textId="77777777" w:rsidR="002543E8" w:rsidRDefault="00000000">
      <w:pPr>
        <w:pStyle w:val="Heading1"/>
      </w:pPr>
      <w:bookmarkStart w:id="10" w:name="X89076fe72fbf109738957ee6ec5bbba991b7256"/>
      <w:bookmarkEnd w:id="9"/>
      <w:r>
        <w:t>Revision 4: Executive Summary - Project Team</w:t>
      </w:r>
    </w:p>
    <w:p w14:paraId="21AAA3CE" w14:textId="77777777" w:rsidR="002543E8" w:rsidRDefault="00000000">
      <w:pPr>
        <w:pStyle w:val="FirstParagraph"/>
      </w:pPr>
      <w:r>
        <w:rPr>
          <w:b/>
          <w:bCs/>
        </w:rPr>
        <w:t>Label:</w:t>
      </w:r>
      <w:r>
        <w:t xml:space="preserve"> Section 1.1.6 (Renumbered as 1.6 The Project Team) </w:t>
      </w:r>
      <w:r>
        <w:rPr>
          <w:b/>
          <w:bCs/>
        </w:rPr>
        <w:t>Action:</w:t>
      </w:r>
      <w:r>
        <w:t xml:space="preserve"> Update to include Emma Thompson as Site Manager to resolve personnel confusion.</w:t>
      </w:r>
    </w:p>
    <w:p w14:paraId="2A5ACF3C" w14:textId="77777777" w:rsidR="002543E8" w:rsidRDefault="00000000">
      <w:pPr>
        <w:pStyle w:val="BodyText"/>
      </w:pPr>
      <w:r>
        <w:rPr>
          <w:b/>
          <w:bCs/>
        </w:rPr>
        <w:t>1.6 The Project Team</w:t>
      </w:r>
      <w:r>
        <w:t xml:space="preserve"> The Council will be supported by a dedicated team with a shared history of successful delivery.</w:t>
      </w:r>
    </w:p>
    <w:p w14:paraId="78CCE984" w14:textId="77777777" w:rsidR="002543E8" w:rsidRDefault="00000000">
      <w:pPr>
        <w:pStyle w:val="Compact"/>
        <w:numPr>
          <w:ilvl w:val="0"/>
          <w:numId w:val="18"/>
        </w:numPr>
      </w:pPr>
      <w:r>
        <w:rPr>
          <w:b/>
          <w:bCs/>
        </w:rPr>
        <w:t>David Wu (Project Manager):</w:t>
      </w:r>
      <w:r>
        <w:t xml:space="preserve"> Specialises in live environment infrastructure and will manage the commercial reporting and stakeholder interface.</w:t>
      </w:r>
    </w:p>
    <w:p w14:paraId="68275A0C" w14:textId="77777777" w:rsidR="002543E8" w:rsidRDefault="00000000">
      <w:pPr>
        <w:pStyle w:val="Compact"/>
        <w:numPr>
          <w:ilvl w:val="0"/>
          <w:numId w:val="18"/>
        </w:numPr>
      </w:pPr>
      <w:r>
        <w:rPr>
          <w:b/>
          <w:bCs/>
        </w:rPr>
        <w:t>Emma Thompson (Site Manager):</w:t>
      </w:r>
      <w:r>
        <w:t xml:space="preserve"> With 12 years of experience, Emma will lead site operations, specifically controlling the site establishment, hoarding logistics, and school zone traffic interface.</w:t>
      </w:r>
    </w:p>
    <w:p w14:paraId="48B66A2E" w14:textId="77777777" w:rsidR="002543E8" w:rsidRDefault="00000000">
      <w:pPr>
        <w:pStyle w:val="Compact"/>
        <w:numPr>
          <w:ilvl w:val="0"/>
          <w:numId w:val="18"/>
        </w:numPr>
      </w:pPr>
      <w:r>
        <w:rPr>
          <w:b/>
          <w:bCs/>
        </w:rPr>
        <w:t>Liam Byrne (Site Foreman):</w:t>
      </w:r>
      <w:r>
        <w:t xml:space="preserve"> A licensed plumber reporting to Emma, ensuring complex services, amenities, and kitchen fitouts are executed flawlessly.</w:t>
      </w:r>
    </w:p>
    <w:p w14:paraId="19144F2A" w14:textId="77777777" w:rsidR="002543E8" w:rsidRDefault="00000000">
      <w:pPr>
        <w:pStyle w:val="Compact"/>
        <w:numPr>
          <w:ilvl w:val="0"/>
          <w:numId w:val="18"/>
        </w:numPr>
      </w:pPr>
      <w:r>
        <w:rPr>
          <w:b/>
          <w:bCs/>
        </w:rPr>
        <w:t>Jessica Alcott (WHS Officer):</w:t>
      </w:r>
      <w:r>
        <w:t xml:space="preserve"> A former Registered Nurse whose clinical background drives our rigorous injury prevention and hazardous materials management strategies.</w:t>
      </w:r>
    </w:p>
    <w:p w14:paraId="3B2DB9AD" w14:textId="77777777" w:rsidR="002543E8" w:rsidRDefault="00000000">
      <w:pPr>
        <w:pStyle w:val="Heading1"/>
      </w:pPr>
      <w:bookmarkStart w:id="11" w:name="revision-5-insurance-compliance"/>
      <w:bookmarkEnd w:id="10"/>
      <w:r>
        <w:t>Revision 5: Insurance Compliance</w:t>
      </w:r>
    </w:p>
    <w:p w14:paraId="6438FD42" w14:textId="77777777" w:rsidR="002543E8" w:rsidRDefault="00000000">
      <w:pPr>
        <w:pStyle w:val="FirstParagraph"/>
      </w:pPr>
      <w:r>
        <w:rPr>
          <w:b/>
          <w:bCs/>
        </w:rPr>
        <w:t>Label:</w:t>
      </w:r>
      <w:r>
        <w:t xml:space="preserve"> Section 2.3.2 Public Liability Insurance </w:t>
      </w:r>
      <w:r>
        <w:rPr>
          <w:b/>
          <w:bCs/>
        </w:rPr>
        <w:t>Action:</w:t>
      </w:r>
      <w:r>
        <w:t xml:space="preserve"> Rewrite to reflect the Letter of Confirmation strategy and avoid making a false claim about current holdings.</w:t>
      </w:r>
    </w:p>
    <w:p w14:paraId="7958BDE4" w14:textId="77777777" w:rsidR="002543E8" w:rsidRDefault="00000000">
      <w:pPr>
        <w:pStyle w:val="BodyText"/>
      </w:pPr>
      <w:r>
        <w:rPr>
          <w:b/>
          <w:bCs/>
        </w:rPr>
        <w:t>2.3.2 Public Liability Insurance</w:t>
      </w:r>
      <w:r>
        <w:t xml:space="preserve"> Risk transfer is a critical component of our commercial offer. Apex Horizon Constructions currently holds a Public Liability Insurance policy of $10,000,000.</w:t>
      </w:r>
    </w:p>
    <w:p w14:paraId="5C79C9C4" w14:textId="77777777" w:rsidR="002543E8" w:rsidRDefault="00000000">
      <w:pPr>
        <w:pStyle w:val="BodyText"/>
      </w:pPr>
      <w:r>
        <w:t xml:space="preserve">Acknowledging the Council’s mandatory requirement for $20,000,000 coverage, we have attached a </w:t>
      </w:r>
      <w:r>
        <w:rPr>
          <w:b/>
          <w:bCs/>
        </w:rPr>
        <w:t>Letter of Confirmation</w:t>
      </w:r>
      <w:r>
        <w:t xml:space="preserve"> from our insurance broker (Appendix B). This letter confirms that our coverage will be immediately increased to $20,000,000 upon the award of the Green Valley Civic Centre contract. This ensures full compliance with the contract conditions prior to site possession.</w:t>
      </w:r>
    </w:p>
    <w:p w14:paraId="473E3A72" w14:textId="77777777" w:rsidR="002543E8" w:rsidRDefault="00000000">
      <w:pPr>
        <w:pStyle w:val="Heading1"/>
      </w:pPr>
      <w:bookmarkStart w:id="12" w:name="revision-6-case-study-justification"/>
      <w:bookmarkEnd w:id="11"/>
      <w:r>
        <w:t>Revision 6: Case Study Justification</w:t>
      </w:r>
    </w:p>
    <w:p w14:paraId="395503E0" w14:textId="77777777" w:rsidR="002543E8" w:rsidRDefault="00000000">
      <w:pPr>
        <w:pStyle w:val="FirstParagraph"/>
      </w:pPr>
      <w:r>
        <w:rPr>
          <w:b/>
          <w:bCs/>
        </w:rPr>
        <w:t>Label:</w:t>
      </w:r>
      <w:r>
        <w:t xml:space="preserve"> Section 3.1.1 Project 1: Riverside Library &amp; Digital Hub Fitout </w:t>
      </w:r>
      <w:r>
        <w:rPr>
          <w:b/>
          <w:bCs/>
        </w:rPr>
        <w:t>Action:</w:t>
      </w:r>
      <w:r>
        <w:t xml:space="preserve"> Insert text under “Relevance to Green Valley Regional Council” to justify the &lt;$5M value.</w:t>
      </w:r>
    </w:p>
    <w:p w14:paraId="0D8287C3" w14:textId="77777777" w:rsidR="002543E8" w:rsidRDefault="00000000">
      <w:pPr>
        <w:pStyle w:val="BodyText"/>
      </w:pPr>
      <w:r>
        <w:rPr>
          <w:b/>
          <w:bCs/>
        </w:rPr>
        <w:lastRenderedPageBreak/>
        <w:t>Relevance to Green Valley Regional Council</w:t>
      </w:r>
      <w:r>
        <w:t xml:space="preserve"> This project demonstrates our ability to deliver “Living Room” style community infrastructure that aligns with Green Valley’s vision.</w:t>
      </w:r>
    </w:p>
    <w:p w14:paraId="639F0015" w14:textId="77777777" w:rsidR="002543E8" w:rsidRDefault="00000000">
      <w:pPr>
        <w:pStyle w:val="Compact"/>
        <w:numPr>
          <w:ilvl w:val="0"/>
          <w:numId w:val="19"/>
        </w:numPr>
      </w:pPr>
      <w:r>
        <w:rPr>
          <w:b/>
          <w:bCs/>
        </w:rPr>
        <w:t>Functional Relevance vs. Value:</w:t>
      </w:r>
      <w:r>
        <w:t xml:space="preserve"> Although the final contract value was $4.2M, the technical complexity of this adaptive reuse project exceeds that of standard greenfield builds of higher value. It serves as our primary benchmark for the Green Valley Civic Centre due to the identical requirements: live library operations, acoustic baffling installation, and community stakeholder management.</w:t>
      </w:r>
    </w:p>
    <w:p w14:paraId="65D300F7" w14:textId="77777777" w:rsidR="002543E8" w:rsidRDefault="00000000">
      <w:pPr>
        <w:pStyle w:val="Heading1"/>
      </w:pPr>
      <w:bookmarkStart w:id="13" w:name="Xa92daa04615b95cb93f5b526ff61d759b0cb726"/>
      <w:bookmarkEnd w:id="12"/>
      <w:r>
        <w:t>Revision 7: Traffic Management Strict Prohibition</w:t>
      </w:r>
    </w:p>
    <w:p w14:paraId="6AD8EDAD" w14:textId="77777777" w:rsidR="002543E8" w:rsidRDefault="00000000">
      <w:pPr>
        <w:pStyle w:val="FirstParagraph"/>
      </w:pPr>
      <w:r>
        <w:rPr>
          <w:b/>
          <w:bCs/>
        </w:rPr>
        <w:t>Label:</w:t>
      </w:r>
      <w:r>
        <w:t xml:space="preserve"> Section 3.2.3 Site Establishment and Logistics (Subsection: Traffic Management) </w:t>
      </w:r>
      <w:r>
        <w:rPr>
          <w:b/>
          <w:bCs/>
        </w:rPr>
        <w:t>Action:</w:t>
      </w:r>
      <w:r>
        <w:t xml:space="preserve"> Strengthen the language regarding School Lane to meet RFT constraints.</w:t>
      </w:r>
    </w:p>
    <w:p w14:paraId="1F22FFE8" w14:textId="77777777" w:rsidR="002543E8" w:rsidRDefault="00000000">
      <w:pPr>
        <w:pStyle w:val="BodyText"/>
      </w:pPr>
      <w:r>
        <w:rPr>
          <w:b/>
          <w:bCs/>
        </w:rPr>
        <w:t>Traffic Management and School Zone Constraints</w:t>
      </w:r>
      <w:r>
        <w:t xml:space="preserve"> We recognize the high-risk nature of operating adjacent to a school zone. Our Traffic Management Plan (TMP) strictly adheres to the constraints outlined in the Scope of Works to ensure the safety of students and pedestrians.</w:t>
      </w:r>
    </w:p>
    <w:p w14:paraId="1CC03D14" w14:textId="77777777" w:rsidR="002543E8" w:rsidRDefault="00000000">
      <w:pPr>
        <w:pStyle w:val="Compact"/>
        <w:numPr>
          <w:ilvl w:val="0"/>
          <w:numId w:val="20"/>
        </w:numPr>
      </w:pPr>
      <w:r>
        <w:rPr>
          <w:b/>
          <w:bCs/>
        </w:rPr>
        <w:t>Strict Prohibition on School Lane:</w:t>
      </w:r>
      <w:r>
        <w:t xml:space="preserve"> There will be </w:t>
      </w:r>
      <w:r>
        <w:rPr>
          <w:b/>
          <w:bCs/>
        </w:rPr>
        <w:t>zero construction access via School Lane</w:t>
      </w:r>
      <w:r>
        <w:t>. We have programmed all site logistics to function independently of this thoroughfare. No delivery vehicles, personnel vehicles, or machinery are permitted to enter, exit, or park on School Lane at any time.</w:t>
      </w:r>
    </w:p>
    <w:p w14:paraId="15F3DAEC" w14:textId="77777777" w:rsidR="002543E8" w:rsidRDefault="00000000">
      <w:pPr>
        <w:pStyle w:val="Compact"/>
        <w:numPr>
          <w:ilvl w:val="0"/>
          <w:numId w:val="20"/>
        </w:numPr>
      </w:pPr>
      <w:r>
        <w:rPr>
          <w:b/>
          <w:bCs/>
        </w:rPr>
        <w:t>Restricted Access (Eucalyptus Drive):</w:t>
      </w:r>
      <w:r>
        <w:t xml:space="preserve"> All construction traffic, including deliveries and personnel, will access the site exclusively via the designated heavy-vehicle gate on Eucalyptus Drive.</w:t>
      </w:r>
    </w:p>
    <w:p w14:paraId="47223B1E" w14:textId="77777777" w:rsidR="002543E8" w:rsidRDefault="00000000">
      <w:pPr>
        <w:pStyle w:val="Compact"/>
        <w:numPr>
          <w:ilvl w:val="0"/>
          <w:numId w:val="20"/>
        </w:numPr>
      </w:pPr>
      <w:r>
        <w:rPr>
          <w:b/>
          <w:bCs/>
        </w:rPr>
        <w:t>School Zone Curfew:</w:t>
      </w:r>
      <w:r>
        <w:t xml:space="preserve"> We enforce a strict blackout period for heavy vehicle movements. No heavy vehicles will enter or leave the site between 8:00am – 9:30am and 2:30pm – 4:00pm on school days.</w:t>
      </w:r>
    </w:p>
    <w:p w14:paraId="0742CE43" w14:textId="77777777" w:rsidR="002543E8" w:rsidRDefault="00000000">
      <w:pPr>
        <w:pStyle w:val="Heading1"/>
      </w:pPr>
      <w:bookmarkStart w:id="14" w:name="X7db39741cbf7f25974fb2b6d49e9e691829a97b"/>
      <w:bookmarkEnd w:id="13"/>
      <w:r>
        <w:t>Revision 8: Key Personnel - Team Structure</w:t>
      </w:r>
    </w:p>
    <w:p w14:paraId="28EF8415" w14:textId="77777777" w:rsidR="002543E8" w:rsidRDefault="00000000">
      <w:pPr>
        <w:pStyle w:val="FirstParagraph"/>
      </w:pPr>
      <w:r>
        <w:rPr>
          <w:b/>
          <w:bCs/>
        </w:rPr>
        <w:t>Label:</w:t>
      </w:r>
      <w:r>
        <w:t xml:space="preserve"> Section 3.3 Key Personnel </w:t>
      </w:r>
      <w:r>
        <w:rPr>
          <w:b/>
          <w:bCs/>
        </w:rPr>
        <w:t>Action:</w:t>
      </w:r>
      <w:r>
        <w:t xml:space="preserve"> Insert Emma Thompson and adjust Liam Byrne’s description.</w:t>
      </w:r>
    </w:p>
    <w:p w14:paraId="07AAE5C3" w14:textId="77777777" w:rsidR="002543E8" w:rsidRDefault="00000000">
      <w:pPr>
        <w:pStyle w:val="BodyText"/>
      </w:pPr>
      <w:r>
        <w:rPr>
          <w:b/>
          <w:bCs/>
        </w:rPr>
        <w:t>3.3 Key Personnel</w:t>
      </w:r>
      <w:r>
        <w:t xml:space="preserve"> Apex Horizon presents a dedicated team available to commence immediately. Our key personnel possess shared experience delivering complex community infrastructure. This proven collaboration ensures a cohesive, low-risk delivery for Green Valley Regional Council.</w:t>
      </w:r>
    </w:p>
    <w:p w14:paraId="423D0BEF" w14:textId="77777777" w:rsidR="002543E8" w:rsidRDefault="00000000">
      <w:pPr>
        <w:pStyle w:val="BodyText"/>
      </w:pPr>
      <w:r>
        <w:rPr>
          <w:b/>
          <w:bCs/>
        </w:rPr>
        <w:t>3.3.1 Project Manager</w:t>
      </w:r>
      <w:r>
        <w:t xml:space="preserve"> [Text remains as per draft for David Wu]</w:t>
      </w:r>
    </w:p>
    <w:p w14:paraId="3AFF9C1A" w14:textId="77777777" w:rsidR="002543E8" w:rsidRDefault="00000000">
      <w:pPr>
        <w:pStyle w:val="BodyText"/>
      </w:pPr>
      <w:r>
        <w:rPr>
          <w:b/>
          <w:bCs/>
        </w:rPr>
        <w:t>3.3.2 Site Manager</w:t>
      </w:r>
      <w:r>
        <w:t xml:space="preserve"> </w:t>
      </w:r>
      <w:r>
        <w:rPr>
          <w:b/>
          <w:bCs/>
        </w:rPr>
        <w:t>Emma Thompson</w:t>
      </w:r>
      <w:r>
        <w:t xml:space="preserve"> serves as Site Manager, bringing 12 years of experience in delivering commercial and community projects. Emma will be full-time on site, responsible for the overarching management of site safety, logistics, and the critical interface with the School Zone and Library. Her experience delivering the West End Primary School STEM Precinct ensures she is intimately familiar with the constraints of working in a live educational precinct.</w:t>
      </w:r>
    </w:p>
    <w:p w14:paraId="7B1467D6" w14:textId="77777777" w:rsidR="002543E8" w:rsidRDefault="00000000">
      <w:pPr>
        <w:pStyle w:val="BodyText"/>
      </w:pPr>
      <w:r>
        <w:rPr>
          <w:b/>
          <w:bCs/>
        </w:rPr>
        <w:t>3.3.3 Site Foreman</w:t>
      </w:r>
      <w:r>
        <w:t xml:space="preserve"> </w:t>
      </w:r>
      <w:r>
        <w:rPr>
          <w:b/>
          <w:bCs/>
        </w:rPr>
        <w:t>Liam Byrne</w:t>
      </w:r>
      <w:r>
        <w:t xml:space="preserve"> serves as Site Foreman, reporting directly to Emma Thompson. A Licensed Plumber by trade, Liam provides critical technical oversight for the complex services components of this project, specifically the commercial kitchen fitout and amenities upgrades. Liam maintains a 100% site presence throughout the 42-week program, focusing on trade coordination and quality assurance.</w:t>
      </w:r>
    </w:p>
    <w:p w14:paraId="58E06724" w14:textId="77777777" w:rsidR="002543E8" w:rsidRDefault="00000000">
      <w:pPr>
        <w:pStyle w:val="BodyText"/>
      </w:pPr>
      <w:r>
        <w:rPr>
          <w:b/>
          <w:bCs/>
        </w:rPr>
        <w:lastRenderedPageBreak/>
        <w:t>3.3.4 Contracts Administrator</w:t>
      </w:r>
      <w:r>
        <w:t xml:space="preserve"> [Text remains as per draft for Raj Patel]</w:t>
      </w:r>
    </w:p>
    <w:p w14:paraId="33E1A739" w14:textId="77777777" w:rsidR="002543E8" w:rsidRDefault="00000000">
      <w:pPr>
        <w:pStyle w:val="BodyText"/>
      </w:pPr>
      <w:r>
        <w:rPr>
          <w:b/>
          <w:bCs/>
        </w:rPr>
        <w:t>3.3.5 WHS Officer</w:t>
      </w:r>
      <w:r>
        <w:t xml:space="preserve"> [Text remains as per draft for Jessica Alcott]</w:t>
      </w:r>
    </w:p>
    <w:p w14:paraId="72D8F2B2" w14:textId="77777777" w:rsidR="002543E8" w:rsidRDefault="00000000">
      <w:pPr>
        <w:pStyle w:val="Heading1"/>
      </w:pPr>
      <w:bookmarkStart w:id="15" w:name="Xf3caffb2287128358cfd4b7b98e119bbab3fb68"/>
      <w:bookmarkEnd w:id="14"/>
      <w:r>
        <w:t>Revision 9: CV Corrections - Michael O’Connor</w:t>
      </w:r>
    </w:p>
    <w:p w14:paraId="07E39153" w14:textId="77777777" w:rsidR="002543E8" w:rsidRDefault="00000000">
      <w:pPr>
        <w:pStyle w:val="FirstParagraph"/>
      </w:pPr>
      <w:r>
        <w:rPr>
          <w:b/>
          <w:bCs/>
        </w:rPr>
        <w:t>Label:</w:t>
      </w:r>
      <w:r>
        <w:t xml:space="preserve"> Appendix A | Curriculum Vitae - Michael O’Connor </w:t>
      </w:r>
      <w:r>
        <w:rPr>
          <w:b/>
          <w:bCs/>
        </w:rPr>
        <w:t>Action:</w:t>
      </w:r>
      <w:r>
        <w:t xml:space="preserve"> Fix email typo and add disclaimer to “Green Valley Civic Centre (Stage 1)”.</w:t>
      </w:r>
    </w:p>
    <w:p w14:paraId="404ADDF7" w14:textId="77777777" w:rsidR="002543E8" w:rsidRDefault="00000000">
      <w:pPr>
        <w:pStyle w:val="BodyText"/>
      </w:pPr>
      <w:r>
        <w:rPr>
          <w:b/>
          <w:bCs/>
        </w:rPr>
        <w:t>Michael O’Connor</w:t>
      </w:r>
      <w:r>
        <w:t xml:space="preserve"> </w:t>
      </w:r>
      <w:r>
        <w:rPr>
          <w:b/>
          <w:bCs/>
        </w:rPr>
        <w:t>Email:</w:t>
      </w:r>
      <w:r>
        <w:t xml:space="preserve"> m.oconnor@example.com.au </w:t>
      </w:r>
      <w:r>
        <w:rPr>
          <w:b/>
          <w:bCs/>
        </w:rPr>
        <w:t>Sydney, NSW</w:t>
      </w:r>
    </w:p>
    <w:p w14:paraId="13322B25" w14:textId="77777777" w:rsidR="002543E8" w:rsidRDefault="00000000">
      <w:pPr>
        <w:pStyle w:val="BodyText"/>
      </w:pPr>
      <w:r>
        <w:t>…</w:t>
      </w:r>
    </w:p>
    <w:p w14:paraId="06ADD8D3" w14:textId="77777777" w:rsidR="002543E8" w:rsidRDefault="00000000">
      <w:pPr>
        <w:pStyle w:val="BodyText"/>
      </w:pPr>
      <w:r>
        <w:rPr>
          <w:b/>
          <w:bCs/>
        </w:rPr>
        <w:t>Project Experience</w:t>
      </w:r>
    </w:p>
    <w:p w14:paraId="5663DAD6" w14:textId="77777777" w:rsidR="002543E8" w:rsidRDefault="00000000">
      <w:pPr>
        <w:pStyle w:val="BodyText"/>
      </w:pPr>
      <w:r>
        <w:rPr>
          <w:b/>
          <w:bCs/>
        </w:rPr>
        <w:t>Green Valley Civic Centre (Stage 1)</w:t>
      </w:r>
      <w:r>
        <w:t xml:space="preserve"> </w:t>
      </w:r>
      <w:r>
        <w:rPr>
          <w:i/>
          <w:iCs/>
        </w:rPr>
        <w:t>(Note: Project delivered by Michael O’Connor in capacity as Project Director for previous employer, Regional Infrastructure Constructors)</w:t>
      </w:r>
      <w:r>
        <w:t xml:space="preserve"> Michael served as the Project Director for the original construction of the Green Valley Civic Centre Library Wing… [Rest of text remains]</w:t>
      </w:r>
    </w:p>
    <w:p w14:paraId="4FCF28D2" w14:textId="77777777" w:rsidR="002543E8" w:rsidRDefault="00000000">
      <w:pPr>
        <w:pStyle w:val="Heading1"/>
      </w:pPr>
      <w:bookmarkStart w:id="16" w:name="revision-10-cv-corrections---raj-patel"/>
      <w:bookmarkEnd w:id="15"/>
      <w:r>
        <w:t>Revision 10: CV Corrections - Raj Patel</w:t>
      </w:r>
    </w:p>
    <w:p w14:paraId="595DDB67" w14:textId="77777777" w:rsidR="002543E8" w:rsidRDefault="00000000">
      <w:pPr>
        <w:pStyle w:val="FirstParagraph"/>
      </w:pPr>
      <w:r>
        <w:rPr>
          <w:b/>
          <w:bCs/>
        </w:rPr>
        <w:t>Label:</w:t>
      </w:r>
      <w:r>
        <w:t xml:space="preserve"> Appendix A | Curriculum Vitae - Raj Patel </w:t>
      </w:r>
      <w:r>
        <w:rPr>
          <w:b/>
          <w:bCs/>
        </w:rPr>
        <w:t>Action:</w:t>
      </w:r>
      <w:r>
        <w:t xml:space="preserve"> Populate missing project experience and fix placeholder email.</w:t>
      </w:r>
    </w:p>
    <w:p w14:paraId="00B6D377" w14:textId="77777777" w:rsidR="002543E8" w:rsidRDefault="00000000">
      <w:pPr>
        <w:pStyle w:val="BodyText"/>
      </w:pPr>
      <w:r>
        <w:rPr>
          <w:b/>
          <w:bCs/>
        </w:rPr>
        <w:t>Raj Patel</w:t>
      </w:r>
      <w:r>
        <w:t xml:space="preserve"> </w:t>
      </w:r>
      <w:r>
        <w:rPr>
          <w:b/>
          <w:bCs/>
        </w:rPr>
        <w:t>Email:</w:t>
      </w:r>
      <w:r>
        <w:t xml:space="preserve"> raj.patel@example.com.au </w:t>
      </w:r>
      <w:r>
        <w:rPr>
          <w:b/>
          <w:bCs/>
        </w:rPr>
        <w:t>Sydney, NSW</w:t>
      </w:r>
    </w:p>
    <w:p w14:paraId="00DB35EE" w14:textId="77777777" w:rsidR="002543E8" w:rsidRDefault="00000000">
      <w:pPr>
        <w:pStyle w:val="BodyText"/>
      </w:pPr>
      <w:r>
        <w:t>…</w:t>
      </w:r>
    </w:p>
    <w:p w14:paraId="74B099B1" w14:textId="77777777" w:rsidR="002543E8" w:rsidRDefault="00000000">
      <w:pPr>
        <w:pStyle w:val="BodyText"/>
      </w:pPr>
      <w:r>
        <w:rPr>
          <w:b/>
          <w:bCs/>
        </w:rPr>
        <w:t>Project Experience</w:t>
      </w:r>
    </w:p>
    <w:p w14:paraId="3605036A" w14:textId="77777777" w:rsidR="002543E8" w:rsidRDefault="00000000">
      <w:pPr>
        <w:pStyle w:val="BodyText"/>
      </w:pPr>
      <w:r>
        <w:rPr>
          <w:b/>
          <w:bCs/>
        </w:rPr>
        <w:t>Riverside Library &amp; Digital Hub Fitout ($4.2M)</w:t>
      </w:r>
      <w:r>
        <w:t xml:space="preserve"> As Contracts Administrator for this adaptive reuse project, Raj managed the procurement of long-lead acoustic materials and specialized digital infrastructure. He successfully administered the contract under a compressed timeframe, achieving a final account settlement of $4.15M ($50k under budget) through proactive value engineering of the mechanical package.</w:t>
      </w:r>
    </w:p>
    <w:p w14:paraId="7960B838" w14:textId="77777777" w:rsidR="002543E8" w:rsidRDefault="00000000">
      <w:pPr>
        <w:pStyle w:val="BodyText"/>
      </w:pPr>
      <w:r>
        <w:rPr>
          <w:b/>
          <w:bCs/>
        </w:rPr>
        <w:t>Highland Medical Centre Redevelopment ($6.8M)</w:t>
      </w:r>
      <w:r>
        <w:t xml:space="preserve"> Raj managed the commercial administration for this complex health facility. His role included the detailed vetting of variation claims related to latent hazardous materials, ensuring the client was only charged for substantiated costs. He maintained accurate cash flow forecasting, ensuring valid progress claims were submitted and certified on time.</w:t>
      </w:r>
    </w:p>
    <w:bookmarkEnd w:id="16"/>
    <w:p w14:paraId="0E883DD3" w14:textId="77777777" w:rsidR="00DA4761" w:rsidRPr="00426FF4" w:rsidRDefault="00DA4761" w:rsidP="00DA4761">
      <w:pPr>
        <w:rPr>
          <w:sz w:val="18"/>
          <w:szCs w:val="16"/>
        </w:rPr>
      </w:pPr>
    </w:p>
    <w:p w14:paraId="1BB87656" w14:textId="77777777" w:rsidR="00DA4761" w:rsidRPr="00DA4761" w:rsidRDefault="00DA4761" w:rsidP="00DA4761">
      <w:pPr>
        <w:rPr>
          <w:b/>
          <w:bCs/>
          <w:color w:val="812A16"/>
        </w:rPr>
      </w:pPr>
    </w:p>
    <w:sectPr w:rsidR="00DA4761" w:rsidRPr="00DA4761" w:rsidSect="00B70839">
      <w:footerReference w:type="default" r:id="rId15"/>
      <w:pgSz w:w="11906" w:h="16838"/>
      <w:pgMar w:top="1134"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9377" w14:textId="77777777" w:rsidR="00860D70" w:rsidRDefault="00860D70" w:rsidP="00141C8F">
      <w:pPr>
        <w:spacing w:after="0" w:line="240" w:lineRule="auto"/>
      </w:pPr>
      <w:r>
        <w:separator/>
      </w:r>
    </w:p>
  </w:endnote>
  <w:endnote w:type="continuationSeparator" w:id="0">
    <w:p w14:paraId="54C61857" w14:textId="77777777" w:rsidR="00860D70" w:rsidRDefault="00860D70" w:rsidP="0014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Gilroy SemiBold">
    <w:panose1 w:val="00000700000000000000"/>
    <w:charset w:val="00"/>
    <w:family w:val="modern"/>
    <w:notTrueType/>
    <w:pitch w:val="variable"/>
    <w:sig w:usb0="00000207" w:usb1="00000000" w:usb2="00000000" w:usb3="00000000" w:csb0="00000097"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54E" w14:textId="77777777" w:rsidR="00783022" w:rsidRDefault="0078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CCF3" w14:textId="4FF5B939" w:rsidR="00B209E6" w:rsidRPr="00790A3E" w:rsidRDefault="0089608C" w:rsidP="004E073E">
    <w:pPr>
      <w:tabs>
        <w:tab w:val="right" w:pos="10490"/>
      </w:tabs>
      <w:rPr>
        <w:rFonts w:ascii="Gilroy SemiBold" w:hAnsi="Gilroy SemiBold"/>
        <w:sz w:val="20"/>
      </w:rPr>
    </w:pPr>
    <w:r w:rsidRPr="00790A3E">
      <w:rPr>
        <w:rFonts w:ascii="Gilroy SemiBold" w:hAnsi="Gilroy SemiBold"/>
        <w:sz w:val="20"/>
      </w:rPr>
      <w:t>*Ratings are indicative and for reference only.</w:t>
    </w:r>
    <w:r w:rsidR="004E073E" w:rsidRPr="00790A3E">
      <w:rPr>
        <w:rFonts w:ascii="Gilroy SemiBold" w:hAnsi="Gilroy SemiBold"/>
        <w:sz w:val="20"/>
      </w:rPr>
      <w:tab/>
    </w:r>
    <w:r w:rsidR="00B209E6" w:rsidRPr="00790A3E">
      <w:rPr>
        <w:rFonts w:ascii="Gilroy SemiBold" w:hAnsi="Gilroy SemiBold"/>
        <w:sz w:val="20"/>
      </w:rPr>
      <w:fldChar w:fldCharType="begin"/>
    </w:r>
    <w:r w:rsidR="00B209E6" w:rsidRPr="00790A3E">
      <w:rPr>
        <w:rFonts w:ascii="Gilroy SemiBold" w:hAnsi="Gilroy SemiBold"/>
        <w:sz w:val="20"/>
      </w:rPr>
      <w:instrText xml:space="preserve"> PAGE  \* Arabic  \* MERGEFORMAT </w:instrText>
    </w:r>
    <w:r w:rsidR="00B209E6" w:rsidRPr="00790A3E">
      <w:rPr>
        <w:rFonts w:ascii="Gilroy SemiBold" w:hAnsi="Gilroy SemiBold"/>
        <w:sz w:val="20"/>
      </w:rPr>
      <w:fldChar w:fldCharType="separate"/>
    </w:r>
    <w:r w:rsidR="00B209E6" w:rsidRPr="00790A3E">
      <w:rPr>
        <w:rFonts w:ascii="Gilroy SemiBold" w:hAnsi="Gilroy SemiBold"/>
        <w:sz w:val="20"/>
      </w:rPr>
      <w:t>1</w:t>
    </w:r>
    <w:r w:rsidR="00B209E6" w:rsidRPr="00790A3E">
      <w:rPr>
        <w:rFonts w:ascii="Gilroy SemiBold" w:hAnsi="Gilroy SemiBold"/>
        <w:sz w:val="20"/>
      </w:rPr>
      <w:fldChar w:fldCharType="end"/>
    </w:r>
    <w:r w:rsidR="00B209E6" w:rsidRPr="00790A3E">
      <w:rPr>
        <w:rFonts w:ascii="Gilroy SemiBold" w:hAnsi="Gilroy SemiBold"/>
        <w:sz w:val="20"/>
      </w:rPr>
      <w:t xml:space="preserve"> of </w:t>
    </w:r>
    <w:r w:rsidR="002F5518" w:rsidRPr="00790A3E">
      <w:rPr>
        <w:rFonts w:ascii="Gilroy SemiBold" w:hAnsi="Gilroy SemiBold"/>
        <w:sz w:val="20"/>
      </w:rPr>
      <w:fldChar w:fldCharType="begin"/>
    </w:r>
    <w:r w:rsidR="002F5518" w:rsidRPr="00790A3E">
      <w:rPr>
        <w:rFonts w:ascii="Gilroy SemiBold" w:hAnsi="Gilroy SemiBold"/>
        <w:sz w:val="20"/>
      </w:rPr>
      <w:instrText xml:space="preserve"> SECTIONPAGES  \* Arabic  \* MERGEFORMAT </w:instrText>
    </w:r>
    <w:r w:rsidR="002F5518" w:rsidRPr="00790A3E">
      <w:rPr>
        <w:rFonts w:ascii="Gilroy SemiBold" w:hAnsi="Gilroy SemiBold"/>
        <w:sz w:val="20"/>
      </w:rPr>
      <w:fldChar w:fldCharType="separate"/>
    </w:r>
    <w:r w:rsidR="000D0A06">
      <w:rPr>
        <w:rFonts w:ascii="Gilroy SemiBold" w:hAnsi="Gilroy SemiBold"/>
        <w:noProof/>
        <w:sz w:val="20"/>
      </w:rPr>
      <w:t>1</w:t>
    </w:r>
    <w:r w:rsidR="002F5518" w:rsidRPr="00790A3E">
      <w:rPr>
        <w:rFonts w:ascii="Gilroy SemiBold" w:hAnsi="Gilroy SemiBold"/>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41E" w14:textId="77777777" w:rsidR="00B3531C" w:rsidRDefault="00B3531C">
    <w:pPr>
      <w:pStyle w:val="Footer"/>
    </w:pPr>
    <w:r>
      <w:t xml:space="preserve">BIDLOGIQ </w:t>
    </w:r>
    <w:r w:rsidR="00FB2471">
      <w:t>CAPABILITY ANALYSIS,</w:t>
    </w:r>
    <w:r>
      <w:t xml:space="preserve"> generated 2026-01-10</w:t>
    </w:r>
    <w:r>
      <w:tab/>
    </w:r>
    <w:r>
      <w:tab/>
    </w:r>
    <w:r>
      <w:fldChar w:fldCharType="begin"/>
    </w:r>
    <w:r>
      <w:instrText xml:space="preserve"> PAGE  \* Arabic  \* MERGEFORMAT </w:instrText>
    </w:r>
    <w:r>
      <w:fldChar w:fldCharType="separate"/>
    </w:r>
    <w:r>
      <w:rPr>
        <w:noProof/>
      </w:rPr>
      <w:t>1</w:t>
    </w:r>
    <w:r>
      <w:fldChar w:fldCharType="end"/>
    </w:r>
    <w:r>
      <w:t xml:space="preserve"> of </w:t>
    </w:r>
    <w:fldSimple w:instr=" SECTIONPAGES  \* Arabic  \* MERGEFORMAT ">
      <w:r w:rsidR="00B209E6">
        <w:rPr>
          <w:noProof/>
        </w:rPr>
        <w:t>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486877"/>
      <w:docPartObj>
        <w:docPartGallery w:val="Page Numbers (Bottom of Page)"/>
        <w:docPartUnique/>
      </w:docPartObj>
    </w:sdtPr>
    <w:sdtContent>
      <w:sdt>
        <w:sdtPr>
          <w:id w:val="-1769616900"/>
          <w:docPartObj>
            <w:docPartGallery w:val="Page Numbers (Top of Page)"/>
            <w:docPartUnique/>
          </w:docPartObj>
        </w:sdtPr>
        <w:sdtContent>
          <w:p w14:paraId="1BAB1DB1" w14:textId="77777777" w:rsidR="007E1FAD" w:rsidRDefault="007E1FAD">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p>
        </w:sdtContent>
      </w:sdt>
    </w:sdtContent>
  </w:sdt>
  <w:p w14:paraId="0E9ED117" w14:textId="77777777" w:rsidR="00790A3E" w:rsidRPr="007E1FAD" w:rsidRDefault="00790A3E" w:rsidP="007E1F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8FBE" w14:textId="77777777" w:rsidR="00860D70" w:rsidRDefault="00860D70" w:rsidP="00141C8F">
      <w:pPr>
        <w:spacing w:after="0" w:line="240" w:lineRule="auto"/>
      </w:pPr>
      <w:r>
        <w:separator/>
      </w:r>
    </w:p>
  </w:footnote>
  <w:footnote w:type="continuationSeparator" w:id="0">
    <w:p w14:paraId="3CE7F25C" w14:textId="77777777" w:rsidR="00860D70" w:rsidRDefault="00860D70" w:rsidP="0014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375F" w14:textId="77777777" w:rsidR="00783022" w:rsidRDefault="00783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2C83" w14:textId="77777777" w:rsidR="00783022" w:rsidRDefault="00783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1B0C" w14:textId="77777777" w:rsidR="00B3531C" w:rsidRPr="00B3531C" w:rsidRDefault="00B3531C" w:rsidP="00697F39">
    <w:pPr>
      <w:pStyle w:val="Header"/>
      <w:jc w:val="center"/>
      <w:rPr>
        <w:rFonts w:ascii="Gilroy SemiBold" w:hAnsi="Gilroy SemiBold"/>
        <w:color w:val="ED5D0D"/>
        <w:sz w:val="44"/>
        <w:szCs w:val="44"/>
      </w:rPr>
    </w:pPr>
    <w:r w:rsidRPr="00B3531C">
      <w:rPr>
        <w:rFonts w:ascii="Gilroy SemiBold" w:hAnsi="Gilroy SemiBold"/>
        <w:color w:val="ED5D0D"/>
        <w:sz w:val="44"/>
        <w:szCs w:val="44"/>
      </w:rPr>
      <w:t xml:space="preserve">BIDLOGIQ </w:t>
    </w:r>
    <w:r w:rsidR="0094054A">
      <w:rPr>
        <w:rFonts w:ascii="Gilroy SemiBold" w:hAnsi="Gilroy SemiBold"/>
        <w:color w:val="ED5D0D"/>
        <w:sz w:val="44"/>
        <w:szCs w:val="44"/>
      </w:rPr>
      <w:t>CAPABILITY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EDA2"/>
    <w:multiLevelType w:val="multilevel"/>
    <w:tmpl w:val="984C3C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C23F7D"/>
    <w:multiLevelType w:val="multilevel"/>
    <w:tmpl w:val="5B7AD8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F8D0B25"/>
    <w:multiLevelType w:val="multilevel"/>
    <w:tmpl w:val="0C0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6C70AE"/>
    <w:multiLevelType w:val="multilevel"/>
    <w:tmpl w:val="0C0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4E6029"/>
    <w:multiLevelType w:val="multilevel"/>
    <w:tmpl w:val="63D2DC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97425885">
    <w:abstractNumId w:val="4"/>
  </w:num>
  <w:num w:numId="2" w16cid:durableId="139467118">
    <w:abstractNumId w:val="3"/>
  </w:num>
  <w:num w:numId="3" w16cid:durableId="1371150911">
    <w:abstractNumId w:val="1"/>
  </w:num>
  <w:num w:numId="4" w16cid:durableId="1807159703">
    <w:abstractNumId w:val="1"/>
  </w:num>
  <w:num w:numId="5" w16cid:durableId="700593347">
    <w:abstractNumId w:val="1"/>
  </w:num>
  <w:num w:numId="6" w16cid:durableId="1403990697">
    <w:abstractNumId w:val="1"/>
  </w:num>
  <w:num w:numId="7" w16cid:durableId="1041130787">
    <w:abstractNumId w:val="1"/>
  </w:num>
  <w:num w:numId="8" w16cid:durableId="2020961416">
    <w:abstractNumId w:val="1"/>
  </w:num>
  <w:num w:numId="9" w16cid:durableId="675039390">
    <w:abstractNumId w:val="1"/>
  </w:num>
  <w:num w:numId="10" w16cid:durableId="2032798402">
    <w:abstractNumId w:val="1"/>
  </w:num>
  <w:num w:numId="11" w16cid:durableId="192423776">
    <w:abstractNumId w:val="1"/>
  </w:num>
  <w:num w:numId="12" w16cid:durableId="1451822660">
    <w:abstractNumId w:val="1"/>
  </w:num>
  <w:num w:numId="13" w16cid:durableId="1973830802">
    <w:abstractNumId w:val="1"/>
  </w:num>
  <w:num w:numId="14" w16cid:durableId="1813448713">
    <w:abstractNumId w:val="1"/>
  </w:num>
  <w:num w:numId="15" w16cid:durableId="1395272327">
    <w:abstractNumId w:val="1"/>
  </w:num>
  <w:num w:numId="16" w16cid:durableId="2009668969">
    <w:abstractNumId w:val="1"/>
  </w:num>
  <w:num w:numId="17" w16cid:durableId="1193955939">
    <w:abstractNumId w:val="0"/>
  </w:num>
  <w:num w:numId="18" w16cid:durableId="942492534">
    <w:abstractNumId w:val="0"/>
  </w:num>
  <w:num w:numId="19" w16cid:durableId="1027829488">
    <w:abstractNumId w:val="0"/>
  </w:num>
  <w:num w:numId="20" w16cid:durableId="459148887">
    <w:abstractNumId w:val="0"/>
  </w:num>
  <w:num w:numId="21" w16cid:durableId="441455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F"/>
    <w:rsid w:val="0000060A"/>
    <w:rsid w:val="00002960"/>
    <w:rsid w:val="00013893"/>
    <w:rsid w:val="00027120"/>
    <w:rsid w:val="00033037"/>
    <w:rsid w:val="00034380"/>
    <w:rsid w:val="000516E8"/>
    <w:rsid w:val="0006773F"/>
    <w:rsid w:val="00067B3E"/>
    <w:rsid w:val="000A39F1"/>
    <w:rsid w:val="000C6BDC"/>
    <w:rsid w:val="000D0A06"/>
    <w:rsid w:val="000E6F08"/>
    <w:rsid w:val="000E73CC"/>
    <w:rsid w:val="00100377"/>
    <w:rsid w:val="00104E52"/>
    <w:rsid w:val="00110CC7"/>
    <w:rsid w:val="0011152F"/>
    <w:rsid w:val="0011673B"/>
    <w:rsid w:val="001217D2"/>
    <w:rsid w:val="00121EE3"/>
    <w:rsid w:val="0013201F"/>
    <w:rsid w:val="00141C8F"/>
    <w:rsid w:val="001425CA"/>
    <w:rsid w:val="00163297"/>
    <w:rsid w:val="0017276F"/>
    <w:rsid w:val="0017340B"/>
    <w:rsid w:val="001974F5"/>
    <w:rsid w:val="001A7FFB"/>
    <w:rsid w:val="00205393"/>
    <w:rsid w:val="0020687C"/>
    <w:rsid w:val="00206B43"/>
    <w:rsid w:val="00210739"/>
    <w:rsid w:val="002343F5"/>
    <w:rsid w:val="00236142"/>
    <w:rsid w:val="00236B4A"/>
    <w:rsid w:val="002543E8"/>
    <w:rsid w:val="00272284"/>
    <w:rsid w:val="002733AF"/>
    <w:rsid w:val="00281AC7"/>
    <w:rsid w:val="002900A7"/>
    <w:rsid w:val="002A2FAB"/>
    <w:rsid w:val="002A456A"/>
    <w:rsid w:val="002A4C9F"/>
    <w:rsid w:val="002D0C18"/>
    <w:rsid w:val="002D422A"/>
    <w:rsid w:val="002E516C"/>
    <w:rsid w:val="002F5518"/>
    <w:rsid w:val="002F586F"/>
    <w:rsid w:val="00332C25"/>
    <w:rsid w:val="00335AB3"/>
    <w:rsid w:val="0034737E"/>
    <w:rsid w:val="003705C0"/>
    <w:rsid w:val="00370B29"/>
    <w:rsid w:val="0037312F"/>
    <w:rsid w:val="0037712D"/>
    <w:rsid w:val="00381610"/>
    <w:rsid w:val="00382237"/>
    <w:rsid w:val="0038743E"/>
    <w:rsid w:val="0039443E"/>
    <w:rsid w:val="003A757E"/>
    <w:rsid w:val="003B2A90"/>
    <w:rsid w:val="003B2C77"/>
    <w:rsid w:val="003D0E5A"/>
    <w:rsid w:val="003D7E21"/>
    <w:rsid w:val="003E62F7"/>
    <w:rsid w:val="003F539A"/>
    <w:rsid w:val="003F5442"/>
    <w:rsid w:val="00404746"/>
    <w:rsid w:val="00411BB6"/>
    <w:rsid w:val="00413963"/>
    <w:rsid w:val="00415ED7"/>
    <w:rsid w:val="00421123"/>
    <w:rsid w:val="004242A6"/>
    <w:rsid w:val="0042563F"/>
    <w:rsid w:val="00426FF4"/>
    <w:rsid w:val="00457DB3"/>
    <w:rsid w:val="00483976"/>
    <w:rsid w:val="00491DAC"/>
    <w:rsid w:val="00496822"/>
    <w:rsid w:val="004B50FE"/>
    <w:rsid w:val="004D5E0B"/>
    <w:rsid w:val="004E073E"/>
    <w:rsid w:val="004E2837"/>
    <w:rsid w:val="004E6691"/>
    <w:rsid w:val="004F4FD8"/>
    <w:rsid w:val="00506550"/>
    <w:rsid w:val="00506CD5"/>
    <w:rsid w:val="0051474F"/>
    <w:rsid w:val="005271C9"/>
    <w:rsid w:val="0053010D"/>
    <w:rsid w:val="00531C1B"/>
    <w:rsid w:val="00554DB6"/>
    <w:rsid w:val="00575716"/>
    <w:rsid w:val="00585EB8"/>
    <w:rsid w:val="00586C36"/>
    <w:rsid w:val="00592573"/>
    <w:rsid w:val="00595711"/>
    <w:rsid w:val="005A6DDD"/>
    <w:rsid w:val="005A7083"/>
    <w:rsid w:val="005B2BE8"/>
    <w:rsid w:val="005B5C84"/>
    <w:rsid w:val="005B6385"/>
    <w:rsid w:val="005D4290"/>
    <w:rsid w:val="005E1B5D"/>
    <w:rsid w:val="005E1F9C"/>
    <w:rsid w:val="005E3A00"/>
    <w:rsid w:val="005E7FD8"/>
    <w:rsid w:val="005F5BA8"/>
    <w:rsid w:val="00623A25"/>
    <w:rsid w:val="00643323"/>
    <w:rsid w:val="00644BE6"/>
    <w:rsid w:val="006459A5"/>
    <w:rsid w:val="00647C67"/>
    <w:rsid w:val="006530BE"/>
    <w:rsid w:val="006628E0"/>
    <w:rsid w:val="00662975"/>
    <w:rsid w:val="006635EE"/>
    <w:rsid w:val="006648FC"/>
    <w:rsid w:val="00670389"/>
    <w:rsid w:val="00674193"/>
    <w:rsid w:val="00680FC9"/>
    <w:rsid w:val="00687C79"/>
    <w:rsid w:val="00697F39"/>
    <w:rsid w:val="006A0F71"/>
    <w:rsid w:val="006A12C3"/>
    <w:rsid w:val="006A4DB3"/>
    <w:rsid w:val="006A7984"/>
    <w:rsid w:val="006B18E2"/>
    <w:rsid w:val="006D0756"/>
    <w:rsid w:val="006D35F2"/>
    <w:rsid w:val="006D4815"/>
    <w:rsid w:val="006E258F"/>
    <w:rsid w:val="006F0316"/>
    <w:rsid w:val="007107E1"/>
    <w:rsid w:val="00717275"/>
    <w:rsid w:val="00724E71"/>
    <w:rsid w:val="00730272"/>
    <w:rsid w:val="00734459"/>
    <w:rsid w:val="007371E9"/>
    <w:rsid w:val="00742755"/>
    <w:rsid w:val="007464CD"/>
    <w:rsid w:val="0074699E"/>
    <w:rsid w:val="00752EE9"/>
    <w:rsid w:val="00753DA8"/>
    <w:rsid w:val="00766484"/>
    <w:rsid w:val="007707AD"/>
    <w:rsid w:val="00783022"/>
    <w:rsid w:val="00790A3E"/>
    <w:rsid w:val="00795C51"/>
    <w:rsid w:val="007A4125"/>
    <w:rsid w:val="007A43C6"/>
    <w:rsid w:val="007A5393"/>
    <w:rsid w:val="007A63AB"/>
    <w:rsid w:val="007B1275"/>
    <w:rsid w:val="007B7421"/>
    <w:rsid w:val="007E1FAD"/>
    <w:rsid w:val="007E52F7"/>
    <w:rsid w:val="007E6630"/>
    <w:rsid w:val="00805124"/>
    <w:rsid w:val="00807136"/>
    <w:rsid w:val="008073FC"/>
    <w:rsid w:val="0081211C"/>
    <w:rsid w:val="008145D5"/>
    <w:rsid w:val="00820EA2"/>
    <w:rsid w:val="00830FE7"/>
    <w:rsid w:val="00834B56"/>
    <w:rsid w:val="00835B6A"/>
    <w:rsid w:val="00837C2F"/>
    <w:rsid w:val="00856100"/>
    <w:rsid w:val="00860D70"/>
    <w:rsid w:val="0086136A"/>
    <w:rsid w:val="008640AB"/>
    <w:rsid w:val="008839F3"/>
    <w:rsid w:val="00884B15"/>
    <w:rsid w:val="00884CEF"/>
    <w:rsid w:val="00893125"/>
    <w:rsid w:val="0089608C"/>
    <w:rsid w:val="008A3FF9"/>
    <w:rsid w:val="008C2017"/>
    <w:rsid w:val="008D0907"/>
    <w:rsid w:val="008D0E36"/>
    <w:rsid w:val="008E631E"/>
    <w:rsid w:val="00900DCC"/>
    <w:rsid w:val="00906C95"/>
    <w:rsid w:val="00907CDA"/>
    <w:rsid w:val="00911351"/>
    <w:rsid w:val="00911504"/>
    <w:rsid w:val="0091416B"/>
    <w:rsid w:val="009146B2"/>
    <w:rsid w:val="009149D4"/>
    <w:rsid w:val="00923C54"/>
    <w:rsid w:val="00926B40"/>
    <w:rsid w:val="00930E9D"/>
    <w:rsid w:val="0094054A"/>
    <w:rsid w:val="00943F92"/>
    <w:rsid w:val="00946429"/>
    <w:rsid w:val="00955506"/>
    <w:rsid w:val="009616A5"/>
    <w:rsid w:val="00963D9F"/>
    <w:rsid w:val="00964C5A"/>
    <w:rsid w:val="00966E59"/>
    <w:rsid w:val="00973A38"/>
    <w:rsid w:val="00980692"/>
    <w:rsid w:val="00995A87"/>
    <w:rsid w:val="009A2E70"/>
    <w:rsid w:val="009A4B1A"/>
    <w:rsid w:val="009A4CE5"/>
    <w:rsid w:val="009A743A"/>
    <w:rsid w:val="009B18F5"/>
    <w:rsid w:val="009B7FEF"/>
    <w:rsid w:val="009C5AA7"/>
    <w:rsid w:val="009D7421"/>
    <w:rsid w:val="009E488A"/>
    <w:rsid w:val="009E5D41"/>
    <w:rsid w:val="009F0644"/>
    <w:rsid w:val="009F20E2"/>
    <w:rsid w:val="00A06CB6"/>
    <w:rsid w:val="00A127C0"/>
    <w:rsid w:val="00A133E8"/>
    <w:rsid w:val="00A143D5"/>
    <w:rsid w:val="00A22F38"/>
    <w:rsid w:val="00A238BA"/>
    <w:rsid w:val="00A24D01"/>
    <w:rsid w:val="00A37DA9"/>
    <w:rsid w:val="00A41951"/>
    <w:rsid w:val="00A65E91"/>
    <w:rsid w:val="00A71344"/>
    <w:rsid w:val="00A73208"/>
    <w:rsid w:val="00A94D3C"/>
    <w:rsid w:val="00A9602A"/>
    <w:rsid w:val="00AA1991"/>
    <w:rsid w:val="00AA2ADC"/>
    <w:rsid w:val="00AA35F7"/>
    <w:rsid w:val="00AA53E7"/>
    <w:rsid w:val="00AB4C86"/>
    <w:rsid w:val="00AD3C99"/>
    <w:rsid w:val="00AD5C49"/>
    <w:rsid w:val="00AE1AF9"/>
    <w:rsid w:val="00AE2932"/>
    <w:rsid w:val="00AF7047"/>
    <w:rsid w:val="00B01CAE"/>
    <w:rsid w:val="00B038E0"/>
    <w:rsid w:val="00B209E6"/>
    <w:rsid w:val="00B246AA"/>
    <w:rsid w:val="00B3531C"/>
    <w:rsid w:val="00B37DBF"/>
    <w:rsid w:val="00B42F2F"/>
    <w:rsid w:val="00B443C9"/>
    <w:rsid w:val="00B4585D"/>
    <w:rsid w:val="00B45B4A"/>
    <w:rsid w:val="00B46C8C"/>
    <w:rsid w:val="00B46F69"/>
    <w:rsid w:val="00B57E56"/>
    <w:rsid w:val="00B64AE4"/>
    <w:rsid w:val="00B7066D"/>
    <w:rsid w:val="00B70839"/>
    <w:rsid w:val="00B70942"/>
    <w:rsid w:val="00B773C4"/>
    <w:rsid w:val="00B814FD"/>
    <w:rsid w:val="00B82434"/>
    <w:rsid w:val="00BA4E6B"/>
    <w:rsid w:val="00BA5128"/>
    <w:rsid w:val="00BB64FA"/>
    <w:rsid w:val="00BD3B25"/>
    <w:rsid w:val="00BE33D5"/>
    <w:rsid w:val="00BE764F"/>
    <w:rsid w:val="00BF27F2"/>
    <w:rsid w:val="00BF6804"/>
    <w:rsid w:val="00C262FF"/>
    <w:rsid w:val="00C273B9"/>
    <w:rsid w:val="00C332FF"/>
    <w:rsid w:val="00C72070"/>
    <w:rsid w:val="00C76849"/>
    <w:rsid w:val="00CA0BD3"/>
    <w:rsid w:val="00CA594E"/>
    <w:rsid w:val="00CA7A41"/>
    <w:rsid w:val="00CB137C"/>
    <w:rsid w:val="00CB6EFC"/>
    <w:rsid w:val="00CC0822"/>
    <w:rsid w:val="00CD09D5"/>
    <w:rsid w:val="00CD106D"/>
    <w:rsid w:val="00CD5378"/>
    <w:rsid w:val="00CD723A"/>
    <w:rsid w:val="00CD7C01"/>
    <w:rsid w:val="00CE2869"/>
    <w:rsid w:val="00CE7FFD"/>
    <w:rsid w:val="00CF10B2"/>
    <w:rsid w:val="00D06276"/>
    <w:rsid w:val="00D128CE"/>
    <w:rsid w:val="00D14CD2"/>
    <w:rsid w:val="00D240BC"/>
    <w:rsid w:val="00D3360B"/>
    <w:rsid w:val="00D41B3F"/>
    <w:rsid w:val="00D46FDB"/>
    <w:rsid w:val="00D766C5"/>
    <w:rsid w:val="00D80D8E"/>
    <w:rsid w:val="00D8122C"/>
    <w:rsid w:val="00D87E63"/>
    <w:rsid w:val="00DA4761"/>
    <w:rsid w:val="00DA59F1"/>
    <w:rsid w:val="00DB0894"/>
    <w:rsid w:val="00DC02BB"/>
    <w:rsid w:val="00DC3A75"/>
    <w:rsid w:val="00DD015A"/>
    <w:rsid w:val="00DD6060"/>
    <w:rsid w:val="00DE24D0"/>
    <w:rsid w:val="00DE3443"/>
    <w:rsid w:val="00DF5491"/>
    <w:rsid w:val="00E20024"/>
    <w:rsid w:val="00E21C9D"/>
    <w:rsid w:val="00E23803"/>
    <w:rsid w:val="00E24914"/>
    <w:rsid w:val="00E256A5"/>
    <w:rsid w:val="00E3253C"/>
    <w:rsid w:val="00E40846"/>
    <w:rsid w:val="00E742B0"/>
    <w:rsid w:val="00E80F91"/>
    <w:rsid w:val="00E81DA6"/>
    <w:rsid w:val="00EE2495"/>
    <w:rsid w:val="00EE4A89"/>
    <w:rsid w:val="00EF0B2B"/>
    <w:rsid w:val="00F057D2"/>
    <w:rsid w:val="00F17FAC"/>
    <w:rsid w:val="00F234C7"/>
    <w:rsid w:val="00F2441C"/>
    <w:rsid w:val="00F340F2"/>
    <w:rsid w:val="00F360BB"/>
    <w:rsid w:val="00F37DCF"/>
    <w:rsid w:val="00F41C34"/>
    <w:rsid w:val="00F47CB5"/>
    <w:rsid w:val="00F65462"/>
    <w:rsid w:val="00F72F70"/>
    <w:rsid w:val="00F76292"/>
    <w:rsid w:val="00F948AB"/>
    <w:rsid w:val="00FA1627"/>
    <w:rsid w:val="00FB0A0E"/>
    <w:rsid w:val="00FB2471"/>
    <w:rsid w:val="00FB276C"/>
    <w:rsid w:val="00FB5195"/>
    <w:rsid w:val="00FC67B1"/>
    <w:rsid w:val="00FE011D"/>
    <w:rsid w:val="00FE160C"/>
    <w:rsid w:val="00FF09AC"/>
    <w:rsid w:val="00FF464E"/>
    <w:rsid w:val="00FF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013A5"/>
  <w15:chartTrackingRefBased/>
  <w15:docId w15:val="{E23E8A9F-6744-4D01-9CDE-289EF769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6D"/>
    <w:rPr>
      <w:rFonts w:ascii="Montserrat" w:hAnsi="Montserrat"/>
      <w:sz w:val="21"/>
    </w:rPr>
  </w:style>
  <w:style w:type="paragraph" w:styleId="Heading1">
    <w:name w:val="heading 1"/>
    <w:basedOn w:val="Normal"/>
    <w:next w:val="Normal"/>
    <w:link w:val="Heading1Char"/>
    <w:uiPriority w:val="9"/>
    <w:qFormat/>
    <w:rsid w:val="00680FC9"/>
    <w:pPr>
      <w:keepNext/>
      <w:keepLines/>
      <w:spacing w:before="160"/>
      <w:outlineLvl w:val="0"/>
    </w:pPr>
    <w:rPr>
      <w:rFonts w:ascii="Gilroy SemiBold" w:eastAsiaTheme="majorEastAsia" w:hAnsi="Gilroy SemiBold" w:cstheme="majorBidi"/>
      <w:color w:val="F5610F"/>
      <w:szCs w:val="32"/>
    </w:rPr>
  </w:style>
  <w:style w:type="paragraph" w:styleId="Heading2">
    <w:name w:val="heading 2"/>
    <w:basedOn w:val="Normal"/>
    <w:next w:val="Normal"/>
    <w:link w:val="Heading2Char"/>
    <w:uiPriority w:val="9"/>
    <w:unhideWhenUsed/>
    <w:qFormat/>
    <w:rsid w:val="00027120"/>
    <w:pPr>
      <w:keepNext/>
      <w:keepLines/>
      <w:outlineLvl w:val="1"/>
    </w:pPr>
    <w:rPr>
      <w:rFonts w:eastAsiaTheme="majorEastAsia" w:cstheme="majorBidi"/>
      <w:color w:val="F5610F"/>
      <w:szCs w:val="26"/>
    </w:rPr>
  </w:style>
  <w:style w:type="paragraph" w:styleId="Heading3">
    <w:name w:val="heading 3"/>
    <w:basedOn w:val="Normal"/>
    <w:next w:val="Normal"/>
    <w:link w:val="Heading3Char"/>
    <w:uiPriority w:val="9"/>
    <w:semiHidden/>
    <w:unhideWhenUsed/>
    <w:qFormat/>
    <w:rsid w:val="0006773F"/>
    <w:pPr>
      <w:keepNext/>
      <w:keepLines/>
      <w:spacing w:before="40" w:after="0"/>
      <w:outlineLvl w:val="2"/>
    </w:pPr>
    <w:rPr>
      <w:rFonts w:eastAsiaTheme="majorEastAsia" w:cstheme="majorBidi"/>
      <w:color w:val="F5610F"/>
      <w:szCs w:val="24"/>
    </w:rPr>
  </w:style>
  <w:style w:type="paragraph" w:styleId="Heading4">
    <w:name w:val="heading 4"/>
    <w:basedOn w:val="Normal"/>
    <w:next w:val="Normal"/>
    <w:link w:val="Heading4Char"/>
    <w:uiPriority w:val="9"/>
    <w:semiHidden/>
    <w:unhideWhenUsed/>
    <w:qFormat/>
    <w:rsid w:val="009F20E2"/>
    <w:pPr>
      <w:keepNext/>
      <w:keepLines/>
      <w:numPr>
        <w:ilvl w:val="3"/>
        <w:numId w:val="1"/>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20E2"/>
    <w:pPr>
      <w:keepNext/>
      <w:keepLines/>
      <w:numPr>
        <w:ilvl w:val="4"/>
        <w:numId w:val="1"/>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F20E2"/>
    <w:pPr>
      <w:keepNext/>
      <w:keepLines/>
      <w:numPr>
        <w:ilvl w:val="5"/>
        <w:numId w:val="1"/>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F20E2"/>
    <w:pPr>
      <w:keepNext/>
      <w:keepLines/>
      <w:numPr>
        <w:ilvl w:val="6"/>
        <w:numId w:val="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F20E2"/>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F20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FC9"/>
    <w:rPr>
      <w:rFonts w:ascii="Gilroy SemiBold" w:eastAsiaTheme="majorEastAsia" w:hAnsi="Gilroy SemiBold" w:cstheme="majorBidi"/>
      <w:color w:val="F5610F"/>
      <w:szCs w:val="32"/>
    </w:rPr>
  </w:style>
  <w:style w:type="character" w:customStyle="1" w:styleId="Heading2Char">
    <w:name w:val="Heading 2 Char"/>
    <w:basedOn w:val="DefaultParagraphFont"/>
    <w:link w:val="Heading2"/>
    <w:uiPriority w:val="9"/>
    <w:rsid w:val="00027120"/>
    <w:rPr>
      <w:rFonts w:eastAsiaTheme="majorEastAsia" w:cstheme="majorBidi"/>
      <w:color w:val="F5610F"/>
      <w:szCs w:val="26"/>
    </w:rPr>
  </w:style>
  <w:style w:type="character" w:customStyle="1" w:styleId="Heading3Char">
    <w:name w:val="Heading 3 Char"/>
    <w:basedOn w:val="DefaultParagraphFont"/>
    <w:link w:val="Heading3"/>
    <w:uiPriority w:val="9"/>
    <w:semiHidden/>
    <w:rsid w:val="0006773F"/>
    <w:rPr>
      <w:rFonts w:eastAsiaTheme="majorEastAsia" w:cstheme="majorBidi"/>
      <w:color w:val="F5610F"/>
      <w:szCs w:val="24"/>
    </w:rPr>
  </w:style>
  <w:style w:type="character" w:customStyle="1" w:styleId="Heading4Char">
    <w:name w:val="Heading 4 Char"/>
    <w:basedOn w:val="DefaultParagraphFont"/>
    <w:link w:val="Heading4"/>
    <w:uiPriority w:val="9"/>
    <w:semiHidden/>
    <w:rsid w:val="009F20E2"/>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9F20E2"/>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9F20E2"/>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9F20E2"/>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9F2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20E2"/>
    <w:rPr>
      <w:rFonts w:asciiTheme="majorHAnsi" w:eastAsiaTheme="majorEastAsia" w:hAnsiTheme="majorHAnsi" w:cstheme="majorBidi"/>
      <w:i/>
      <w:iCs/>
      <w:color w:val="272727" w:themeColor="text1" w:themeTint="D8"/>
      <w:sz w:val="21"/>
      <w:szCs w:val="21"/>
    </w:rPr>
  </w:style>
  <w:style w:type="paragraph" w:customStyle="1" w:styleId="Figure">
    <w:name w:val="Figure"/>
    <w:basedOn w:val="Normal"/>
    <w:next w:val="Normal"/>
    <w:link w:val="FigureChar"/>
    <w:qFormat/>
    <w:rsid w:val="00CC0822"/>
    <w:pPr>
      <w:spacing w:after="240"/>
      <w:jc w:val="center"/>
    </w:pPr>
    <w:rPr>
      <w:i/>
      <w:color w:val="C00000"/>
    </w:rPr>
  </w:style>
  <w:style w:type="character" w:customStyle="1" w:styleId="FigureChar">
    <w:name w:val="Figure Char"/>
    <w:basedOn w:val="DefaultParagraphFont"/>
    <w:link w:val="Figure"/>
    <w:rsid w:val="00CC0822"/>
    <w:rPr>
      <w:i/>
      <w:color w:val="C00000"/>
    </w:rPr>
  </w:style>
  <w:style w:type="paragraph" w:styleId="Quote">
    <w:name w:val="Quote"/>
    <w:basedOn w:val="Normal"/>
    <w:next w:val="Normal"/>
    <w:link w:val="QuoteChar"/>
    <w:uiPriority w:val="29"/>
    <w:rsid w:val="00CC08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C0822"/>
    <w:rPr>
      <w:i/>
      <w:iCs/>
      <w:color w:val="404040" w:themeColor="text1" w:themeTint="BF"/>
    </w:rPr>
  </w:style>
  <w:style w:type="paragraph" w:styleId="Title">
    <w:name w:val="Title"/>
    <w:basedOn w:val="Normal"/>
    <w:next w:val="Normal"/>
    <w:link w:val="TitleChar"/>
    <w:uiPriority w:val="10"/>
    <w:rsid w:val="00141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41C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C8F"/>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rsid w:val="00141C8F"/>
    <w:pPr>
      <w:ind w:left="720"/>
      <w:contextualSpacing/>
    </w:pPr>
  </w:style>
  <w:style w:type="character" w:styleId="IntenseEmphasis">
    <w:name w:val="Intense Emphasis"/>
    <w:basedOn w:val="DefaultParagraphFont"/>
    <w:uiPriority w:val="21"/>
    <w:rsid w:val="00141C8F"/>
    <w:rPr>
      <w:i/>
      <w:iCs/>
      <w:color w:val="0F4761" w:themeColor="accent1" w:themeShade="BF"/>
    </w:rPr>
  </w:style>
  <w:style w:type="paragraph" w:styleId="IntenseQuote">
    <w:name w:val="Intense Quote"/>
    <w:basedOn w:val="Normal"/>
    <w:next w:val="Normal"/>
    <w:link w:val="IntenseQuoteChar"/>
    <w:uiPriority w:val="30"/>
    <w:rsid w:val="00141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C8F"/>
    <w:rPr>
      <w:i/>
      <w:iCs/>
      <w:color w:val="0F4761" w:themeColor="accent1" w:themeShade="BF"/>
    </w:rPr>
  </w:style>
  <w:style w:type="character" w:styleId="IntenseReference">
    <w:name w:val="Intense Reference"/>
    <w:basedOn w:val="DefaultParagraphFont"/>
    <w:uiPriority w:val="32"/>
    <w:rsid w:val="00141C8F"/>
    <w:rPr>
      <w:b/>
      <w:bCs/>
      <w:smallCaps/>
      <w:color w:val="0F4761" w:themeColor="accent1" w:themeShade="BF"/>
      <w:spacing w:val="5"/>
    </w:rPr>
  </w:style>
  <w:style w:type="paragraph" w:styleId="Header">
    <w:name w:val="header"/>
    <w:basedOn w:val="Normal"/>
    <w:link w:val="HeaderChar"/>
    <w:uiPriority w:val="99"/>
    <w:unhideWhenUsed/>
    <w:rsid w:val="0014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8F"/>
  </w:style>
  <w:style w:type="paragraph" w:styleId="Footer">
    <w:name w:val="footer"/>
    <w:basedOn w:val="Normal"/>
    <w:link w:val="FooterChar"/>
    <w:uiPriority w:val="99"/>
    <w:unhideWhenUsed/>
    <w:rsid w:val="0014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8F"/>
  </w:style>
  <w:style w:type="table" w:customStyle="1" w:styleId="Blank">
    <w:name w:val="Blank"/>
    <w:basedOn w:val="TableNormal"/>
    <w:uiPriority w:val="99"/>
    <w:rsid w:val="007E6630"/>
    <w:pPr>
      <w:spacing w:after="0" w:line="240" w:lineRule="auto"/>
    </w:pPr>
    <w:rPr>
      <w:rFonts w:asciiTheme="minorHAnsi" w:eastAsiaTheme="minorEastAsia" w:hAnsiTheme="minorHAnsi" w:cstheme="minorBidi"/>
      <w:kern w:val="0"/>
      <w:sz w:val="22"/>
      <w:szCs w:val="22"/>
      <w:lang w:val="en-GB"/>
      <w14:ligatures w14:val="none"/>
    </w:rPr>
    <w:tblPr>
      <w:tblCellMar>
        <w:left w:w="0" w:type="dxa"/>
        <w:right w:w="0" w:type="dxa"/>
      </w:tblCellMar>
    </w:tblPr>
  </w:style>
  <w:style w:type="character" w:customStyle="1" w:styleId="RedColour">
    <w:name w:val="Red Colour"/>
    <w:uiPriority w:val="9"/>
    <w:qFormat/>
    <w:rsid w:val="007E6630"/>
    <w:rPr>
      <w:rFonts w:asciiTheme="minorHAnsi" w:eastAsiaTheme="minorEastAsia" w:hAnsiTheme="minorHAnsi" w:cstheme="minorBidi"/>
      <w:color w:val="E61E28"/>
      <w:lang w:val="en-AU"/>
    </w:rPr>
  </w:style>
  <w:style w:type="paragraph" w:customStyle="1" w:styleId="Template-Address">
    <w:name w:val="Template - Address"/>
    <w:basedOn w:val="Normal"/>
    <w:uiPriority w:val="15"/>
    <w:semiHidden/>
    <w:rsid w:val="007E6630"/>
    <w:pPr>
      <w:tabs>
        <w:tab w:val="left" w:pos="567"/>
      </w:tabs>
      <w:suppressAutoHyphens/>
      <w:spacing w:after="80" w:line="160" w:lineRule="atLeast"/>
      <w:contextualSpacing/>
    </w:pPr>
    <w:rPr>
      <w:rFonts w:asciiTheme="minorHAnsi" w:eastAsiaTheme="minorEastAsia" w:hAnsiTheme="minorHAnsi" w:cstheme="minorBidi"/>
      <w:noProof/>
      <w:kern w:val="0"/>
      <w:sz w:val="14"/>
      <w:szCs w:val="22"/>
      <w:lang w:eastAsia="zh-CN"/>
      <w14:ligatures w14:val="none"/>
    </w:rPr>
  </w:style>
  <w:style w:type="character" w:customStyle="1" w:styleId="Bold">
    <w:name w:val="Bold"/>
    <w:basedOn w:val="DefaultParagraphFont"/>
    <w:uiPriority w:val="99"/>
    <w:semiHidden/>
    <w:qFormat/>
    <w:rsid w:val="007E6630"/>
    <w:rPr>
      <w:b/>
      <w:lang w:val="en-AU"/>
    </w:rPr>
  </w:style>
  <w:style w:type="paragraph" w:customStyle="1" w:styleId="Disclaimer">
    <w:name w:val="Disclaimer"/>
    <w:basedOn w:val="Normal"/>
    <w:uiPriority w:val="99"/>
    <w:semiHidden/>
    <w:rsid w:val="007E6630"/>
    <w:pPr>
      <w:spacing w:after="0" w:line="160" w:lineRule="atLeast"/>
    </w:pPr>
    <w:rPr>
      <w:rFonts w:asciiTheme="minorHAnsi" w:eastAsiaTheme="minorEastAsia" w:hAnsiTheme="minorHAnsi" w:cstheme="minorBidi"/>
      <w:kern w:val="0"/>
      <w:sz w:val="14"/>
      <w:szCs w:val="22"/>
      <w:lang w:eastAsia="zh-CN"/>
      <w14:ligatures w14:val="none"/>
    </w:rPr>
  </w:style>
  <w:style w:type="character" w:styleId="PlaceholderText">
    <w:name w:val="Placeholder Text"/>
    <w:basedOn w:val="DefaultParagraphFont"/>
    <w:uiPriority w:val="99"/>
    <w:rsid w:val="00CF10B2"/>
    <w:rPr>
      <w:rFonts w:asciiTheme="minorHAnsi" w:eastAsiaTheme="minorEastAsia" w:hAnsiTheme="minorHAnsi" w:cstheme="minorBidi"/>
      <w:color w:val="808080"/>
      <w:lang w:val="en-AU"/>
    </w:rPr>
  </w:style>
  <w:style w:type="paragraph" w:customStyle="1" w:styleId="Cover-Subtitle">
    <w:name w:val="Cover - Subtitle"/>
    <w:basedOn w:val="Normal"/>
    <w:next w:val="Cover-Ref"/>
    <w:uiPriority w:val="99"/>
    <w:semiHidden/>
    <w:rsid w:val="00CF10B2"/>
    <w:pPr>
      <w:suppressAutoHyphens/>
      <w:spacing w:before="120" w:after="80" w:line="240" w:lineRule="auto"/>
    </w:pPr>
    <w:rPr>
      <w:rFonts w:asciiTheme="minorHAnsi" w:eastAsiaTheme="minorEastAsia" w:hAnsiTheme="minorHAnsi" w:cstheme="minorBidi"/>
      <w:kern w:val="0"/>
      <w:sz w:val="28"/>
      <w:szCs w:val="22"/>
      <w:lang w:eastAsia="zh-CN"/>
      <w14:ligatures w14:val="none"/>
    </w:rPr>
  </w:style>
  <w:style w:type="paragraph" w:customStyle="1" w:styleId="Cover-Client">
    <w:name w:val="Cover - Client"/>
    <w:basedOn w:val="Cover-Subtitle"/>
    <w:uiPriority w:val="99"/>
    <w:semiHidden/>
    <w:qFormat/>
    <w:rsid w:val="00CF10B2"/>
    <w:pPr>
      <w:spacing w:before="0" w:after="120"/>
    </w:pPr>
    <w:rPr>
      <w:rFonts w:asciiTheme="majorHAnsi" w:eastAsiaTheme="majorEastAsia" w:hAnsiTheme="majorHAnsi" w:cstheme="majorBidi"/>
      <w:b/>
      <w:color w:val="E61E28"/>
      <w:sz w:val="24"/>
    </w:rPr>
  </w:style>
  <w:style w:type="paragraph" w:customStyle="1" w:styleId="Cover-Ref">
    <w:name w:val="Cover - Ref"/>
    <w:basedOn w:val="Normal"/>
    <w:uiPriority w:val="99"/>
    <w:semiHidden/>
    <w:rsid w:val="00CF10B2"/>
    <w:pPr>
      <w:spacing w:after="40" w:line="240" w:lineRule="auto"/>
    </w:pPr>
    <w:rPr>
      <w:rFonts w:asciiTheme="minorHAnsi" w:eastAsiaTheme="minorEastAsia" w:hAnsiTheme="minorHAnsi" w:cstheme="minorBidi"/>
      <w:kern w:val="0"/>
      <w:sz w:val="18"/>
      <w:szCs w:val="22"/>
      <w:lang w:eastAsia="zh-CN"/>
      <w14:ligatures w14:val="none"/>
    </w:rPr>
  </w:style>
  <w:style w:type="paragraph" w:customStyle="1" w:styleId="Cover-Title">
    <w:name w:val="Cover - Title"/>
    <w:basedOn w:val="Normal"/>
    <w:next w:val="Cover-Subtitle"/>
    <w:uiPriority w:val="99"/>
    <w:semiHidden/>
    <w:rsid w:val="00CF10B2"/>
    <w:pPr>
      <w:suppressAutoHyphens/>
      <w:spacing w:before="40" w:after="0" w:line="240" w:lineRule="auto"/>
    </w:pPr>
    <w:rPr>
      <w:rFonts w:asciiTheme="minorHAnsi" w:eastAsiaTheme="minorEastAsia" w:hAnsiTheme="minorHAnsi" w:cstheme="minorBidi"/>
      <w:kern w:val="0"/>
      <w:sz w:val="44"/>
      <w:szCs w:val="22"/>
      <w:lang w:eastAsia="zh-CN"/>
      <w14:ligatures w14:val="none"/>
    </w:rPr>
  </w:style>
  <w:style w:type="paragraph" w:customStyle="1" w:styleId="Appendix">
    <w:name w:val="Appendix"/>
    <w:basedOn w:val="Heading1"/>
    <w:link w:val="AppendixChar"/>
    <w:qFormat/>
    <w:rsid w:val="0086136A"/>
    <w:rPr>
      <w:b/>
    </w:rPr>
  </w:style>
  <w:style w:type="character" w:customStyle="1" w:styleId="AppendixChar">
    <w:name w:val="Appendix Char"/>
    <w:basedOn w:val="Heading1Char"/>
    <w:link w:val="Appendix"/>
    <w:rsid w:val="0086136A"/>
    <w:rPr>
      <w:rFonts w:ascii="Gilroy SemiBold" w:eastAsiaTheme="majorEastAsia" w:hAnsi="Gilroy SemiBold" w:cstheme="majorBidi"/>
      <w:b/>
      <w:color w:val="E61E28"/>
      <w:sz w:val="28"/>
      <w:szCs w:val="32"/>
    </w:rPr>
  </w:style>
  <w:style w:type="paragraph" w:styleId="TOC2">
    <w:name w:val="toc 2"/>
    <w:basedOn w:val="Normal"/>
    <w:next w:val="Normal"/>
    <w:autoRedefine/>
    <w:uiPriority w:val="39"/>
    <w:unhideWhenUsed/>
    <w:rsid w:val="005B6385"/>
    <w:pPr>
      <w:spacing w:after="100"/>
      <w:ind w:left="200"/>
    </w:pPr>
  </w:style>
  <w:style w:type="character" w:styleId="Hyperlink">
    <w:name w:val="Hyperlink"/>
    <w:basedOn w:val="DefaultParagraphFont"/>
    <w:uiPriority w:val="99"/>
    <w:unhideWhenUsed/>
    <w:rsid w:val="005B6385"/>
    <w:rPr>
      <w:color w:val="467886" w:themeColor="hyperlink"/>
      <w:u w:val="single"/>
    </w:rPr>
  </w:style>
  <w:style w:type="table" w:styleId="TableGrid">
    <w:name w:val="Table Grid"/>
    <w:basedOn w:val="TableNormal"/>
    <w:uiPriority w:val="39"/>
    <w:rsid w:val="00B2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le">
    <w:name w:val="Scale"/>
    <w:basedOn w:val="Normal"/>
    <w:link w:val="ScaleChar"/>
    <w:qFormat/>
    <w:rsid w:val="00AA1991"/>
    <w:pPr>
      <w:keepLines/>
      <w:spacing w:after="0" w:line="240" w:lineRule="auto"/>
      <w:jc w:val="center"/>
    </w:pPr>
    <w:rPr>
      <w:b/>
      <w:bCs/>
      <w:sz w:val="24"/>
    </w:rPr>
  </w:style>
  <w:style w:type="character" w:customStyle="1" w:styleId="ScaleChar">
    <w:name w:val="Scale Char"/>
    <w:basedOn w:val="DefaultParagraphFont"/>
    <w:link w:val="Scale"/>
    <w:rsid w:val="00AA1991"/>
    <w:rPr>
      <w:b/>
      <w:bCs/>
      <w:sz w:val="24"/>
    </w:rPr>
  </w:style>
  <w:style w:type="paragraph" w:customStyle="1" w:styleId="ScaleTitle">
    <w:name w:val="ScaleTitle"/>
    <w:basedOn w:val="Normal"/>
    <w:link w:val="ScaleTitleChar"/>
    <w:qFormat/>
    <w:rsid w:val="00AA1991"/>
    <w:pPr>
      <w:keepLines/>
      <w:spacing w:after="0" w:line="240" w:lineRule="auto"/>
      <w:jc w:val="center"/>
    </w:pPr>
    <w:rPr>
      <w:b/>
      <w:bCs/>
      <w:color w:val="FF6800"/>
    </w:rPr>
  </w:style>
  <w:style w:type="character" w:customStyle="1" w:styleId="ScaleTitleChar">
    <w:name w:val="ScaleTitle Char"/>
    <w:basedOn w:val="DefaultParagraphFont"/>
    <w:link w:val="ScaleTitle"/>
    <w:rsid w:val="00AA1991"/>
    <w:rPr>
      <w:b/>
      <w:bCs/>
      <w:color w:val="FF6800"/>
      <w:sz w:val="22"/>
    </w:rPr>
  </w:style>
  <w:style w:type="paragraph" w:customStyle="1" w:styleId="TableHeading">
    <w:name w:val="TableHeading"/>
    <w:basedOn w:val="Normal"/>
    <w:link w:val="TableHeadingChar"/>
    <w:qFormat/>
    <w:rsid w:val="00AA1991"/>
    <w:pPr>
      <w:keepNext/>
      <w:keepLines/>
      <w:spacing w:after="0" w:line="240" w:lineRule="auto"/>
      <w:jc w:val="center"/>
    </w:pPr>
    <w:rPr>
      <w:b/>
      <w:bCs/>
      <w:color w:val="FFFFFF" w:themeColor="background1"/>
    </w:rPr>
  </w:style>
  <w:style w:type="character" w:customStyle="1" w:styleId="TableHeadingChar">
    <w:name w:val="TableHeading Char"/>
    <w:basedOn w:val="DefaultParagraphFont"/>
    <w:link w:val="TableHeading"/>
    <w:rsid w:val="00AA1991"/>
    <w:rPr>
      <w:b/>
      <w:bCs/>
      <w:color w:val="FFFFFF" w:themeColor="background1"/>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VerbatimChar">
    <w:name w:val="Verbatim Char"/>
    <w:basedOn w:val="BodyTextChar"/>
    <w:rPr>
      <w:rFonts w:ascii="Consolas" w:hAnsi="Consolas"/>
      <w:sz w:val="22"/>
    </w:rPr>
  </w:style>
  <w:style w:type="paragraph" w:styleId="BodyText">
    <w:name w:val="Body Text"/>
    <w:basedOn w:val="Normal"/>
    <w:link w:val="BodyTextChar"/>
    <w:qFormat/>
    <w:pPr>
      <w:spacing w:before="180" w:after="180"/>
    </w:pPr>
  </w:style>
  <w:style w:type="character" w:customStyle="1" w:styleId="BodyTextChar">
    <w:name w:val="Body Text Char"/>
    <w:basedOn w:val="DefaultParagraphFont"/>
    <w:link w:val="BodyText"/>
  </w:style>
  <w:style w:type="table" w:customStyle="1" w:styleId="Table">
    <w:name w:val="Table"/>
    <w:basedOn w:val="TableNormal"/>
    <w:semiHidden/>
    <w:unhideWhenUsed/>
    <w:qFormat/>
    <w:tblPr/>
    <w:tblStylePr w:type="firstRow">
      <w:tbl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7</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c:creator>
  <cp:keywords/>
  <dc:description/>
  <cp:lastModifiedBy>Mike Pascale</cp:lastModifiedBy>
  <cp:revision>30</cp:revision>
  <dcterms:created xsi:type="dcterms:W3CDTF">2025-06-26T11:45:00Z</dcterms:created>
  <dcterms:modified xsi:type="dcterms:W3CDTF">2026-01-10T09:27:00Z</dcterms:modified>
  <dc:identifier/>
  <dc:language/>
</cp:coreProperties>
</file>