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D138" w14:textId="77777777" w:rsidR="004F1DD9" w:rsidRDefault="004F1DD9" w:rsidP="004F1DD9">
      <w:pPr>
        <w:rPr>
          <w:rFonts w:ascii="Gilroy SemiBold" w:hAnsi="Gilroy SemiBold"/>
        </w:rPr>
      </w:pPr>
      <w:r>
        <w:rPr>
          <w:rFonts w:ascii="Gilroy SemiBold" w:hAnsi="Gilroy SemiBold"/>
          <w:noProof/>
        </w:rPr>
        <mc:AlternateContent>
          <mc:Choice Requires="wps">
            <w:drawing>
              <wp:anchor distT="0" distB="0" distL="114300" distR="114300" simplePos="0" relativeHeight="251659264" behindDoc="1" locked="0" layoutInCell="1" allowOverlap="1" wp14:anchorId="092EDB40" wp14:editId="659DEC02">
                <wp:simplePos x="0" y="0"/>
                <wp:positionH relativeFrom="page">
                  <wp:posOffset>-519793</wp:posOffset>
                </wp:positionH>
                <wp:positionV relativeFrom="page">
                  <wp:posOffset>-87086</wp:posOffset>
                </wp:positionV>
                <wp:extent cx="8122829" cy="10907486"/>
                <wp:effectExtent l="57150" t="76200" r="88265" b="84455"/>
                <wp:wrapNone/>
                <wp:docPr id="1001" name="Freeform: Shape 4"/>
                <wp:cNvGraphicFramePr/>
                <a:graphic xmlns:a="http://schemas.openxmlformats.org/drawingml/2006/main">
                  <a:graphicData uri="http://schemas.microsoft.com/office/word/2010/wordprocessingShape">
                    <wps:wsp>
                      <wps:cNvSpPr/>
                      <wps:spPr>
                        <a:xfrm>
                          <a:off x="0" y="0"/>
                          <a:ext cx="8122829" cy="10907486"/>
                        </a:xfrm>
                        <a:custGeom>
                          <a:avLst/>
                          <a:gdLst>
                            <a:gd name="connsiteX0" fmla="*/ 0 w 7554686"/>
                            <a:gd name="connsiteY0" fmla="*/ 32657 h 10700657"/>
                            <a:gd name="connsiteX1" fmla="*/ 0 w 7554686"/>
                            <a:gd name="connsiteY1" fmla="*/ 10689772 h 10700657"/>
                            <a:gd name="connsiteX2" fmla="*/ 7554686 w 7554686"/>
                            <a:gd name="connsiteY2" fmla="*/ 10700657 h 10700657"/>
                            <a:gd name="connsiteX3" fmla="*/ 2416629 w 7554686"/>
                            <a:gd name="connsiteY3" fmla="*/ 0 h 10700657"/>
                            <a:gd name="connsiteX4" fmla="*/ 0 w 7554686"/>
                            <a:gd name="connsiteY4" fmla="*/ 32657 h 107006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4686" h="10700657">
                              <a:moveTo>
                                <a:pt x="0" y="32657"/>
                              </a:moveTo>
                              <a:lnTo>
                                <a:pt x="0" y="10689772"/>
                              </a:lnTo>
                              <a:lnTo>
                                <a:pt x="7554686" y="10700657"/>
                              </a:lnTo>
                              <a:lnTo>
                                <a:pt x="2416629" y="0"/>
                              </a:lnTo>
                              <a:lnTo>
                                <a:pt x="0" y="32657"/>
                              </a:lnTo>
                              <a:close/>
                            </a:path>
                          </a:pathLst>
                        </a:custGeom>
                        <a:solidFill>
                          <a:srgbClr val="D05C09"/>
                        </a:solidFill>
                        <a:ln w="1143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54663" id="Freeform: Shape 4" o:spid="_x0000_s1026" style="position:absolute;margin-left:-40.95pt;margin-top:-6.85pt;width:639.6pt;height:85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554686,10700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" path="m,32657l,10689772r7554686,10885l2416629,,,32657xe" fillcolor="#d05c09" strokecolor="black [3213]" strokeweight="9pt">
                <v:stroke joinstyle="miter"/>
                <v:path arrowok="t" o:connecttype="custom" o:connectlocs="0,33288;0,10896391;8122829,10907486;2598369,0;0,33288" o:connectangles="0,0,0,0,0"/>
                <w10:wrap anchorx="page" anchory="page"/>
              </v:shape>
            </w:pict>
          </mc:Fallback>
        </mc:AlternateContent>
      </w:r>
    </w:p>
    <w:p w14:paraId="1610129C" w14:textId="77777777" w:rsidR="004F1DD9" w:rsidRDefault="004F1DD9" w:rsidP="004F1DD9">
      <w:pPr>
        <w:rPr>
          <w:rFonts w:ascii="Gilroy SemiBold" w:hAnsi="Gilroy SemiBold"/>
        </w:rPr>
      </w:pPr>
    </w:p>
    <w:p w14:paraId="01A6A62B" w14:textId="77777777" w:rsidR="004F1DD9" w:rsidRDefault="004F1DD9" w:rsidP="004F1DD9">
      <w:pPr>
        <w:rPr>
          <w:rFonts w:ascii="Gilroy SemiBold" w:hAnsi="Gilroy SemiBold"/>
        </w:rPr>
      </w:pPr>
    </w:p>
    <w:p w14:paraId="71417BA3" w14:textId="77777777" w:rsidR="004F1DD9" w:rsidRDefault="004F1DD9" w:rsidP="004F1DD9">
      <w:pPr>
        <w:rPr>
          <w:rFonts w:ascii="Gilroy SemiBold" w:hAnsi="Gilroy SemiBold"/>
        </w:rPr>
      </w:pPr>
    </w:p>
    <w:p w14:paraId="78310902" w14:textId="77777777" w:rsidR="004F1DD9" w:rsidRDefault="004F1DD9" w:rsidP="004F1DD9">
      <w:pPr>
        <w:rPr>
          <w:rFonts w:ascii="Gilroy SemiBold" w:hAnsi="Gilroy SemiBold"/>
        </w:rPr>
      </w:pPr>
    </w:p>
    <w:p w14:paraId="0C339395" w14:textId="77777777" w:rsidR="004F1DD9" w:rsidRDefault="004F1DD9" w:rsidP="004F1DD9">
      <w:pPr>
        <w:rPr>
          <w:rFonts w:ascii="Gilroy SemiBold" w:hAnsi="Gilroy SemiBold"/>
        </w:rPr>
      </w:pPr>
    </w:p>
    <w:p w14:paraId="31B1665D" w14:textId="77777777" w:rsidR="004F1DD9" w:rsidRDefault="004F1DD9" w:rsidP="004F1DD9">
      <w:pPr>
        <w:rPr>
          <w:rFonts w:ascii="Gilroy SemiBold" w:hAnsi="Gilroy SemiBold"/>
        </w:rPr>
      </w:pPr>
    </w:p>
    <w:p w14:paraId="7DB0D034" w14:textId="77777777" w:rsidR="004F1DD9" w:rsidRDefault="004F1DD9" w:rsidP="004F1DD9">
      <w:pPr>
        <w:rPr>
          <w:rFonts w:ascii="Gilroy SemiBold" w:hAnsi="Gilroy SemiBold"/>
        </w:rPr>
      </w:pPr>
    </w:p>
    <w:p w14:paraId="0330539B" w14:textId="77777777" w:rsidR="004F1DD9" w:rsidRDefault="004F1DD9" w:rsidP="004F1DD9">
      <w:pPr>
        <w:rPr>
          <w:rFonts w:ascii="Gilroy SemiBold" w:hAnsi="Gilroy SemiBold"/>
        </w:rPr>
      </w:pPr>
    </w:p>
    <w:p w14:paraId="70040665" w14:textId="77777777" w:rsidR="004F1DD9" w:rsidRDefault="004F1DD9" w:rsidP="004F1DD9">
      <w:pPr>
        <w:rPr>
          <w:rFonts w:ascii="Gilroy SemiBold" w:hAnsi="Gilroy SemiBold"/>
        </w:rPr>
      </w:pPr>
    </w:p>
    <w:p w14:paraId="65764D86" w14:textId="77777777" w:rsidR="004F1DD9" w:rsidRDefault="004F1DD9" w:rsidP="004F1DD9">
      <w:pPr>
        <w:rPr>
          <w:rFonts w:ascii="Gilroy SemiBold" w:hAnsi="Gilroy SemiBold"/>
        </w:rPr>
      </w:pPr>
      <w:r>
        <w:rPr>
          <w:rFonts w:ascii="Gilroy SemiBold" w:hAnsi="Gilroy SemiBold"/>
          <w:noProof/>
        </w:rPr>
        <mc:AlternateContent>
          <mc:Choice Requires="wps">
            <w:drawing>
              <wp:anchor distT="0" distB="0" distL="114300" distR="114300" simplePos="0" relativeHeight="251661312" behindDoc="0" locked="0" layoutInCell="1" allowOverlap="1" wp14:anchorId="7673E6AF" wp14:editId="5765BF3C">
                <wp:simplePos x="0" y="0"/>
                <wp:positionH relativeFrom="column">
                  <wp:posOffset>4210231</wp:posOffset>
                </wp:positionH>
                <wp:positionV relativeFrom="paragraph">
                  <wp:posOffset>55154</wp:posOffset>
                </wp:positionV>
                <wp:extent cx="1719580" cy="435157"/>
                <wp:effectExtent l="0" t="0" r="0" b="3175"/>
                <wp:wrapNone/>
                <wp:docPr id="1002" name="Text Box 6"/>
                <wp:cNvGraphicFramePr/>
                <a:graphic xmlns:a="http://schemas.openxmlformats.org/drawingml/2006/main">
                  <a:graphicData uri="http://schemas.microsoft.com/office/word/2010/wordprocessingShape">
                    <wps:wsp>
                      <wps:cNvSpPr txBox="1"/>
                      <wps:spPr>
                        <a:xfrm>
                          <a:off x="0" y="0"/>
                          <a:ext cx="1719580" cy="435157"/>
                        </a:xfrm>
                        <a:prstGeom prst="rect">
                          <a:avLst/>
                        </a:prstGeom>
                        <a:solidFill>
                          <a:schemeClr val="lt1"/>
                        </a:solidFill>
                        <a:ln w="6350">
                          <a:noFill/>
                        </a:ln>
                      </wps:spPr>
                      <wps:txbx>
                        <w:txbxContent>
                          <w:p w14:paraId="4FCF63D6" w14:textId="77777777" w:rsidR="004F1DD9" w:rsidRPr="004F1DD9" w:rsidRDefault="004F1DD9" w:rsidP="004F1DD9">
                            <w:pPr>
                              <w:jc w:val="center"/>
                              <w:rPr>
                                <w:color w:val="BFBFBF" w:themeColor="background1" w:themeShade="BF"/>
                                <w:sz w:val="40"/>
                                <w:szCs w:val="40"/>
                              </w:rPr>
                            </w:pPr>
                            <w:r w:rsidRPr="004F1DD9">
                              <w:rPr>
                                <w:color w:val="BFBFBF" w:themeColor="background1" w:themeShade="BF"/>
                                <w:sz w:val="40"/>
                                <w:szCs w:val="40"/>
                              </w:rPr>
                              <w:t>[image]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73E6AF" id="_x0000_t202" coordsize="21600,21600" o:spt="202" path="m,l,21600r21600,l21600,xe">
                <v:stroke joinstyle="miter"/>
                <v:path gradientshapeok="t" o:connecttype="rect"/>
              </v:shapetype>
              <v:shape id="Text Box 6" o:spid="_x0000_s1026" type="#_x0000_t202" style="position:absolute;margin-left:331.5pt;margin-top:4.35pt;width:135.4pt;height:3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" fillcolor="white [3201]" stroked="f" strokeweight=".5pt">
                <v:textbox>
                  <w:txbxContent>
                    <w:p w14:paraId="4FCF63D6" w14:textId="77777777" w:rsidR="004F1DD9" w:rsidRPr="004F1DD9" w:rsidRDefault="004F1DD9" w:rsidP="004F1DD9">
                      <w:pPr>
                        <w:jc w:val="center"/>
                        <w:rPr>
                          <w:color w:val="BFBFBF" w:themeColor="background1" w:themeShade="BF"/>
                          <w:sz w:val="40"/>
                          <w:szCs w:val="40"/>
                        </w:rPr>
                      </w:pPr>
                      <w:r w:rsidRPr="004F1DD9">
                        <w:rPr>
                          <w:color w:val="BFBFBF" w:themeColor="background1" w:themeShade="BF"/>
                          <w:sz w:val="40"/>
                          <w:szCs w:val="40"/>
                        </w:rPr>
                        <w:t>[image]</w:t>
                      </w:r>
                    </w:p>
                  </w:txbxContent>
                </v:textbox>
              </v:shape>
            </w:pict>
          </mc:Fallback>
        </mc:AlternateContent>
      </w:r>
    </w:p>
    <w:p w14:paraId="0688EFC4" w14:textId="77777777" w:rsidR="004F1DD9" w:rsidRDefault="004F1DD9" w:rsidP="004F1DD9">
      <w:pPr>
        <w:rPr>
          <w:rFonts w:ascii="Gilroy SemiBold" w:hAnsi="Gilroy SemiBold"/>
        </w:rPr>
      </w:pPr>
    </w:p>
    <w:p w14:paraId="4E62DCC3" w14:textId="77777777" w:rsidR="004F1DD9" w:rsidRDefault="004F1DD9" w:rsidP="004F1DD9">
      <w:pPr>
        <w:rPr>
          <w:rFonts w:ascii="Gilroy SemiBold" w:hAnsi="Gilroy SemiBold"/>
        </w:rPr>
      </w:pPr>
    </w:p>
    <w:p w14:paraId="41BC0546" w14:textId="77777777" w:rsidR="004F1DD9" w:rsidRDefault="004F1DD9" w:rsidP="004F1DD9">
      <w:pPr>
        <w:rPr>
          <w:rFonts w:ascii="Gilroy SemiBold" w:hAnsi="Gilroy SemiBold"/>
        </w:rPr>
      </w:pPr>
    </w:p>
    <w:p w14:paraId="65231F80" w14:textId="77777777" w:rsidR="004F1DD9" w:rsidRDefault="004F1DD9" w:rsidP="004F1DD9">
      <w:pPr>
        <w:rPr>
          <w:rFonts w:ascii="Gilroy SemiBold" w:hAnsi="Gilroy SemiBold"/>
        </w:rPr>
      </w:pPr>
    </w:p>
    <w:p w14:paraId="0F7C5FDF" w14:textId="77777777" w:rsidR="004F1DD9" w:rsidRDefault="004F1DD9" w:rsidP="004F1DD9">
      <w:pPr>
        <w:rPr>
          <w:rFonts w:ascii="Gilroy SemiBold" w:hAnsi="Gilroy SemiBold"/>
        </w:rPr>
      </w:pPr>
    </w:p>
    <w:p w14:paraId="3176B6D8" w14:textId="77777777" w:rsidR="004F1DD9" w:rsidRDefault="004F1DD9" w:rsidP="004F1DD9">
      <w:pPr>
        <w:rPr>
          <w:rFonts w:ascii="Gilroy SemiBold" w:hAnsi="Gilroy SemiBold"/>
        </w:rPr>
      </w:pPr>
    </w:p>
    <w:p w14:paraId="3251453A" w14:textId="77777777" w:rsidR="004F1DD9" w:rsidRDefault="004F1DD9" w:rsidP="004F1DD9">
      <w:pPr>
        <w:rPr>
          <w:rFonts w:ascii="Gilroy SemiBold" w:hAnsi="Gilroy SemiBold"/>
        </w:rPr>
      </w:pPr>
    </w:p>
    <w:p w14:paraId="72D983DB" w14:textId="77777777" w:rsidR="004F1DD9" w:rsidRDefault="004F1DD9" w:rsidP="004F1DD9">
      <w:pPr>
        <w:rPr>
          <w:rFonts w:ascii="Gilroy SemiBold" w:hAnsi="Gilroy SemiBold"/>
        </w:rPr>
      </w:pPr>
    </w:p>
    <w:p w14:paraId="1DA454D5" w14:textId="77777777" w:rsidR="004F1DD9" w:rsidRDefault="004F1DD9" w:rsidP="004F1DD9">
      <w:pPr>
        <w:rPr>
          <w:rFonts w:ascii="Gilroy SemiBold" w:hAnsi="Gilroy SemiBold"/>
        </w:rPr>
      </w:pPr>
    </w:p>
    <w:p w14:paraId="445734FD" w14:textId="77777777" w:rsidR="007E6630" w:rsidRDefault="007E6630" w:rsidP="004F1DD9">
      <w:pPr>
        <w:rPr>
          <w:rFonts w:ascii="Gilroy SemiBold" w:hAnsi="Gilroy SemiBold"/>
        </w:rPr>
      </w:pPr>
    </w:p>
    <w:p w14:paraId="60989DEF" w14:textId="77777777" w:rsidR="007E6630" w:rsidRDefault="007E6630" w:rsidP="007E6630">
      <w:pPr>
        <w:rPr>
          <w:rFonts w:ascii="Gilroy SemiBold" w:hAnsi="Gilroy SemiBold"/>
        </w:rPr>
      </w:pPr>
    </w:p>
    <w:tbl>
      <w:tblPr>
        <w:tblStyle w:val="Blank"/>
        <w:tblW w:w="2969" w:type="pct"/>
        <w:tblLayout w:type="fixed"/>
        <w:tblLook w:val="0000" w:firstRow="0" w:lastRow="0" w:firstColumn="0" w:lastColumn="0" w:noHBand="0" w:noVBand="0"/>
      </w:tblPr>
      <w:tblGrid>
        <w:gridCol w:w="5925"/>
      </w:tblGrid>
      <w:tr w:rsidR="00CF10B2" w:rsidRPr="00CF10B2" w14:paraId="5BC0D2F2" w14:textId="77777777" w:rsidTr="00237838">
        <w:trPr>
          <w:trHeight w:val="607"/>
        </w:trPr>
        <w:sdt>
          <w:sdtPr>
            <w:rPr>
              <w:rFonts w:ascii="Times New Roman" w:hAnsi="Times New Roman" w:cs="Times New Roman"/>
              <w:color w:val="FFFFFF" w:themeColor="background1"/>
            </w:rPr>
            <w:alias w:val="ClientName"/>
            <w:tag w:val="{&quot;templafy&quot;:{&quot;id&quot;:&quot;8abd8546-7332-42b4-8008-5e37c5b4bd59&quot;}}"/>
            <w:id w:val="-1573193995"/>
            <w:placeholder>
              <w:docPart w:val="005E3C49AF18496B91F2677E5CDC79EE"/>
            </w:placeholder>
            <w15:color w:val="FF0000"/>
          </w:sdtPr>
          <w:sdtContent>
            <w:tc>
              <w:tcPr>
                <w:tcW w:w="5925" w:type="dxa"/>
              </w:tcPr>
              <w:p w14:paraId="59EFB35D" w14:textId="77777777" w:rsidR="00CF10B2" w:rsidRPr="004F1DD9" w:rsidRDefault="00CF10B2" w:rsidP="00BA544C">
                <w:pPr>
                  <w:pStyle w:val="Cover-Client"/>
                  <w:rPr>
                    <w:rFonts w:ascii="Times New Roman" w:hAnsi="Times New Roman" w:cs="Times New Roman"/>
                    <w:color w:val="FFFFFF" w:themeColor="background1"/>
                  </w:rPr>
                </w:pPr>
                <w:r w:rsidRPr="004F1DD9">
                  <w:rPr>
                    <w:rFonts w:ascii="Times New Roman" w:hAnsi="Times New Roman" w:cs="Times New Roman"/>
                    <w:color w:val="FFFFFF" w:themeColor="background1"/>
                  </w:rPr>
                  <w:t>Green Valley Regional Council</w:t>
                </w:r>
              </w:p>
            </w:tc>
          </w:sdtContent>
        </w:sdt>
      </w:tr>
      <w:tr w:rsidR="00CF10B2" w:rsidRPr="00CF10B2" w14:paraId="5C254D1C" w14:textId="77777777" w:rsidTr="00237838">
        <w:trPr>
          <w:trHeight w:val="846"/>
        </w:trPr>
        <w:sdt>
          <w:sdtPr>
            <w:rPr>
              <w:rFonts w:ascii="Times New Roman" w:hAnsi="Times New Roman" w:cs="Times New Roman"/>
              <w:color w:val="FFFFFF" w:themeColor="background1"/>
            </w:rPr>
            <w:alias w:val="ProjectTitle"/>
            <w:tag w:val="{&quot;templafy&quot;:{&quot;id&quot;:&quot;cd8e7fa2-21b5-4a6b-8e2c-ce8732a033a2&quot;}}"/>
            <w:id w:val="-212425019"/>
            <w:placeholder>
              <w:docPart w:val="9DEC2A99BEA3451293BC110064DEBA4E"/>
            </w:placeholder>
            <w15:color w:val="FF0000"/>
          </w:sdtPr>
          <w:sdtContent>
            <w:tc>
              <w:tcPr>
                <w:tcW w:w="5925" w:type="dxa"/>
              </w:tcPr>
              <w:p w14:paraId="0F6977CB" w14:textId="77777777" w:rsidR="00CF10B2" w:rsidRPr="004F1DD9" w:rsidRDefault="00CF10B2" w:rsidP="00BA544C">
                <w:pPr>
                  <w:pStyle w:val="Cover-Title"/>
                  <w:rPr>
                    <w:rFonts w:ascii="Times New Roman" w:hAnsi="Times New Roman" w:cs="Times New Roman"/>
                    <w:color w:val="FFFFFF" w:themeColor="background1"/>
                  </w:rPr>
                </w:pPr>
                <w:r w:rsidRPr="004F1DD9">
                  <w:rPr>
                    <w:rFonts w:ascii="Times New Roman" w:hAnsi="Times New Roman" w:cs="Times New Roman"/>
                    <w:color w:val="FFFFFF" w:themeColor="background1"/>
                  </w:rPr>
                  <w:t>Civic Centre Refurbishment and Community Hub Expansion</w:t>
                </w:r>
              </w:p>
            </w:tc>
          </w:sdtContent>
        </w:sdt>
      </w:tr>
      <w:tr w:rsidR="00CF10B2" w:rsidRPr="00CF10B2" w14:paraId="4E2915C3" w14:textId="77777777" w:rsidTr="00237838">
        <w:trPr>
          <w:trHeight w:hRule="exact" w:val="786"/>
        </w:trPr>
        <w:tc>
          <w:tcPr>
            <w:tcW w:w="5925" w:type="dxa"/>
          </w:tcPr>
          <w:p w14:paraId="1E0C0503" w14:textId="77777777" w:rsidR="00CF10B2" w:rsidRPr="004F1DD9" w:rsidRDefault="00000000" w:rsidP="00BA544C">
            <w:pPr>
              <w:pStyle w:val="Cover-Ref"/>
              <w:rPr>
                <w:rFonts w:ascii="Times New Roman" w:hAnsi="Times New Roman" w:cs="Times New Roman"/>
                <w:color w:val="FFFFFF" w:themeColor="background1"/>
              </w:rPr>
            </w:pPr>
            <w:sdt>
              <w:sdtPr>
                <w:rPr>
                  <w:rFonts w:ascii="Times New Roman" w:hAnsi="Times New Roman" w:cs="Times New Roman"/>
                  <w:color w:val="FFFFFF" w:themeColor="background1"/>
                </w:rPr>
                <w:alias w:val="Lbl Reference"/>
                <w:tag w:val="{&quot;templafy&quot;:{&quot;id&quot;:&quot;d34390e0-f861-457b-94ab-05c7b69fad27&quot;}}"/>
                <w:id w:val="685256700"/>
                <w:placeholder>
                  <w:docPart w:val="39220B974A3F457E8FEAB4DFC788D00C"/>
                </w:placeholder>
                <w15:color w:val="FF0000"/>
              </w:sdtPr>
              <w:sdtContent>
                <w:r w:rsidR="00CF10B2" w:rsidRPr="004F1DD9">
                  <w:rPr>
                    <w:rFonts w:ascii="Times New Roman" w:hAnsi="Times New Roman" w:cs="Times New Roman"/>
                    <w:color w:val="FFFFFF" w:themeColor="background1"/>
                  </w:rPr>
                  <w:t>Reference</w:t>
                </w:r>
              </w:sdtContent>
            </w:sdt>
            <w:r w:rsidR="00CF10B2" w:rsidRPr="004F1DD9">
              <w:rPr>
                <w:rFonts w:ascii="Times New Roman" w:hAnsi="Times New Roman" w:cs="Times New Roman"/>
                <w:color w:val="FFFFFF" w:themeColor="background1"/>
              </w:rPr>
              <w:t xml:space="preserve">: </w:t>
            </w:r>
            <w:sdt>
              <w:sdtPr>
                <w:rPr>
                  <w:rFonts w:ascii="Times New Roman" w:hAnsi="Times New Roman" w:cs="Times New Roman"/>
                  <w:color w:val="FFFFFF" w:themeColor="background1"/>
                </w:rPr>
                <w:alias w:val="DocumentReference"/>
                <w:tag w:val="{&quot;templafy&quot;:{&quot;id&quot;:&quot;afcc19a5-2eea-4a7c-8cc4-6a086bdc12e2&quot;}}"/>
                <w:id w:val="-1797988788"/>
                <w:placeholder>
                  <w:docPart w:val="39E3CBEB6A544990BE74A8F0AB8DC36A"/>
                </w:placeholder>
                <w15:color w:val="FF0000"/>
              </w:sdtPr>
              <w:sdtContent>
                <w:r w:rsidR="00CF10B2" w:rsidRPr="004F1DD9">
                  <w:rPr>
                    <w:rFonts w:ascii="Times New Roman" w:hAnsi="Times New Roman" w:cs="Times New Roman"/>
                    <w:color w:val="FFFFFF" w:themeColor="background1"/>
                  </w:rPr>
                  <w:t>[REFERENCE]​</w:t>
                </w:r>
              </w:sdtContent>
            </w:sdt>
          </w:p>
        </w:tc>
      </w:tr>
      <w:tr w:rsidR="00CF10B2" w:rsidRPr="00CF10B2" w14:paraId="15CCACA9" w14:textId="77777777" w:rsidTr="00237838">
        <w:trPr>
          <w:trHeight w:val="396"/>
        </w:trPr>
        <w:tc>
          <w:tcPr>
            <w:tcW w:w="5925" w:type="dxa"/>
          </w:tcPr>
          <w:p w14:paraId="1934B33B" w14:textId="77777777" w:rsidR="00CF10B2" w:rsidRPr="004F1DD9" w:rsidRDefault="00000000" w:rsidP="00BA544C">
            <w:pPr>
              <w:pStyle w:val="Cover-Ref"/>
              <w:rPr>
                <w:rFonts w:ascii="Times New Roman" w:hAnsi="Times New Roman" w:cs="Times New Roman"/>
                <w:color w:val="FFFFFF" w:themeColor="background1"/>
              </w:rPr>
            </w:pPr>
            <w:sdt>
              <w:sdtPr>
                <w:rPr>
                  <w:rFonts w:ascii="Times New Roman" w:hAnsi="Times New Roman" w:cs="Times New Roman"/>
                  <w:color w:val="FFFFFF" w:themeColor="background1"/>
                </w:rPr>
                <w:alias w:val="Revision"/>
                <w:tag w:val="{&quot;templafy&quot;:{&quot;id&quot;:&quot;7220da3b-c88f-44ff-9225-5e3a5b7a0515&quot;}}"/>
                <w:id w:val="-265623472"/>
                <w:placeholder>
                  <w:docPart w:val="3EF52A24E272460AA1B9AF9FA4CE5191"/>
                </w:placeholder>
                <w15:color w:val="FF0000"/>
              </w:sdtPr>
              <w:sdtContent>
                <w:r w:rsidR="00CF10B2" w:rsidRPr="004F1DD9">
                  <w:rPr>
                    <w:rFonts w:ascii="Times New Roman" w:hAnsi="Times New Roman" w:cs="Times New Roman"/>
                    <w:color w:val="FFFFFF" w:themeColor="background1"/>
                  </w:rPr>
                  <w:t>​</w:t>
                </w:r>
              </w:sdtContent>
            </w:sdt>
            <w:r w:rsidR="00CF10B2" w:rsidRPr="004F1DD9">
              <w:rPr>
                <w:rFonts w:ascii="Times New Roman" w:hAnsi="Times New Roman" w:cs="Times New Roman"/>
                <w:color w:val="FFFFFF" w:themeColor="background1"/>
              </w:rPr>
              <w:t xml:space="preserve"> | </w:t>
            </w:r>
            <w:sdt>
              <w:sdtPr>
                <w:rPr>
                  <w:rFonts w:ascii="Times New Roman" w:hAnsi="Times New Roman" w:cs="Times New Roman"/>
                  <w:color w:val="FFFFFF" w:themeColor="background1"/>
                </w:rPr>
                <w:alias w:val="Date"/>
                <w:tag w:val="{&quot;templafy&quot;:{&quot;id&quot;:&quot;0dcf2148-0e3d-40c6-b881-d8167bbf8583&quot;}}"/>
                <w:id w:val="-1267227913"/>
                <w:placeholder>
                  <w:docPart w:val="975B9E6874BA4F63BAB817BB0F40B203"/>
                </w:placeholder>
                <w15:color w:val="FF0000"/>
              </w:sdtPr>
              <w:sdtContent>
                <w:r w:rsidR="00CF10B2" w:rsidRPr="004F1DD9">
                  <w:rPr>
                    <w:rFonts w:ascii="Times New Roman" w:hAnsi="Times New Roman" w:cs="Times New Roman"/>
                    <w:color w:val="FFFFFF" w:themeColor="background1"/>
                  </w:rPr>
                  <w:t>[SUBMISSION_DATE]</w:t>
                </w:r>
              </w:sdtContent>
            </w:sdt>
          </w:p>
        </w:tc>
      </w:tr>
    </w:tbl>
    <w:p w14:paraId="68089B25" w14:textId="77777777" w:rsidR="008F2F4B" w:rsidRPr="008F2F4B" w:rsidRDefault="00CF10B2" w:rsidP="007E6630">
      <w:pPr>
        <w:rPr>
          <w:rFonts w:eastAsia="SimSun"/>
          <w:color w:val="E61E28"/>
          <w:kern w:val="0"/>
          <w:sz w:val="22"/>
          <w:szCs w:val="22"/>
          <w:lang w:eastAsia="zh-CN"/>
          <w14:ligatures w14:val="none"/>
        </w:rPr>
      </w:pPr>
      <w:r>
        <w:rPr>
          <w:rFonts w:asciiTheme="minorHAnsi" w:hAnsiTheme="minorHAnsi" w:cstheme="minorHAnsi"/>
        </w:rPr>
        <w:br w:type="page"/>
      </w:r>
    </w:p>
    <w:sdt>
      <w:sdtPr>
        <w:rPr>
          <w:rFonts w:ascii="Times New Roman" w:eastAsiaTheme="minorHAnsi" w:hAnsi="Times New Roman" w:cs="Times New Roman"/>
          <w:color w:val="auto"/>
          <w:kern w:val="2"/>
          <w:sz w:val="20"/>
          <w:szCs w:val="20"/>
          <w:lang w:val="en-GB" w:eastAsia="en-US"/>
          <w14:ligatures w14:val="standardContextual"/>
        </w:rPr>
        <w:id w:val="1313909555"/>
        <w:docPartObj>
          <w:docPartGallery w:val="Table of Contents"/>
          <w:docPartUnique/>
        </w:docPartObj>
      </w:sdtPr>
      <w:sdtEndPr>
        <w:rPr>
          <w:b/>
          <w:bCs/>
        </w:rPr>
      </w:sdtEndPr>
      <w:sdtContent>
        <w:p w14:paraId="2D34CCC9" w14:textId="77777777" w:rsidR="008F2F4B" w:rsidRPr="007B10F0" w:rsidRDefault="008F2F4B">
          <w:pPr>
            <w:pStyle w:val="TOCHeading"/>
            <w:rPr>
              <w:color w:val="auto"/>
            </w:rPr>
          </w:pPr>
          <w:r w:rsidRPr="007B10F0">
            <w:rPr>
              <w:color w:val="auto"/>
              <w:lang w:val="en-GB"/>
            </w:rPr>
            <w:t>Table of Contents</w:t>
          </w:r>
        </w:p>
        <w:p w14:paraId="0655E55C" w14:textId="1FAFF84A" w:rsidR="00743135" w:rsidRDefault="008F2F4B">
          <w:pPr>
            <w:pStyle w:val="TOC1"/>
            <w:tabs>
              <w:tab w:val="left" w:pos="480"/>
              <w:tab w:val="right" w:leader="dot" w:pos="9968"/>
            </w:tabs>
            <w:rPr>
              <w:rFonts w:asciiTheme="minorHAnsi" w:eastAsiaTheme="minorEastAsia" w:hAnsiTheme="minorHAnsi" w:cstheme="minorBidi"/>
              <w:noProof/>
              <w:sz w:val="24"/>
              <w:szCs w:val="24"/>
              <w:lang w:eastAsia="en-AU"/>
            </w:rPr>
          </w:pPr>
          <w:r>
            <w:fldChar w:fldCharType="begin"/>
          </w:r>
          <w:r>
            <w:instrText xml:space="preserve"> TOC \o "1-3" \h \z \u </w:instrText>
          </w:r>
          <w:r>
            <w:fldChar w:fldCharType="separate"/>
          </w:r>
          <w:hyperlink w:anchor="_Toc218961909" w:history="1">
            <w:r w:rsidR="00743135" w:rsidRPr="00E0486E">
              <w:rPr>
                <w:rStyle w:val="Hyperlink"/>
                <w:noProof/>
              </w:rPr>
              <w:t>1</w:t>
            </w:r>
            <w:r w:rsidR="00743135">
              <w:rPr>
                <w:rFonts w:asciiTheme="minorHAnsi" w:eastAsiaTheme="minorEastAsia" w:hAnsiTheme="minorHAnsi" w:cstheme="minorBidi"/>
                <w:noProof/>
                <w:sz w:val="24"/>
                <w:szCs w:val="24"/>
                <w:lang w:eastAsia="en-AU"/>
              </w:rPr>
              <w:tab/>
            </w:r>
            <w:r w:rsidR="00743135" w:rsidRPr="00E0486E">
              <w:rPr>
                <w:rStyle w:val="Hyperlink"/>
                <w:noProof/>
              </w:rPr>
              <w:t>Executive Summary</w:t>
            </w:r>
            <w:r w:rsidR="00743135">
              <w:rPr>
                <w:noProof/>
                <w:webHidden/>
              </w:rPr>
              <w:tab/>
            </w:r>
            <w:r w:rsidR="00743135">
              <w:rPr>
                <w:noProof/>
                <w:webHidden/>
              </w:rPr>
              <w:fldChar w:fldCharType="begin"/>
            </w:r>
            <w:r w:rsidR="00743135">
              <w:rPr>
                <w:noProof/>
                <w:webHidden/>
              </w:rPr>
              <w:instrText xml:space="preserve"> PAGEREF _Toc218961909 \h </w:instrText>
            </w:r>
            <w:r w:rsidR="00743135">
              <w:rPr>
                <w:noProof/>
                <w:webHidden/>
              </w:rPr>
            </w:r>
            <w:r w:rsidR="00743135">
              <w:rPr>
                <w:noProof/>
                <w:webHidden/>
              </w:rPr>
              <w:fldChar w:fldCharType="separate"/>
            </w:r>
            <w:r w:rsidR="00743135">
              <w:rPr>
                <w:noProof/>
                <w:webHidden/>
              </w:rPr>
              <w:t>1</w:t>
            </w:r>
            <w:r w:rsidR="00743135">
              <w:rPr>
                <w:noProof/>
                <w:webHidden/>
              </w:rPr>
              <w:fldChar w:fldCharType="end"/>
            </w:r>
          </w:hyperlink>
        </w:p>
        <w:p w14:paraId="284CB11F" w14:textId="504CDA74" w:rsidR="00743135" w:rsidRDefault="00743135">
          <w:pPr>
            <w:pStyle w:val="TOC1"/>
            <w:tabs>
              <w:tab w:val="left" w:pos="480"/>
              <w:tab w:val="right" w:leader="dot" w:pos="9968"/>
            </w:tabs>
            <w:rPr>
              <w:rFonts w:asciiTheme="minorHAnsi" w:eastAsiaTheme="minorEastAsia" w:hAnsiTheme="minorHAnsi" w:cstheme="minorBidi"/>
              <w:noProof/>
              <w:sz w:val="24"/>
              <w:szCs w:val="24"/>
              <w:lang w:eastAsia="en-AU"/>
            </w:rPr>
          </w:pPr>
          <w:hyperlink w:anchor="_Toc218961910" w:history="1">
            <w:r w:rsidRPr="00E0486E">
              <w:rPr>
                <w:rStyle w:val="Hyperlink"/>
                <w:noProof/>
              </w:rPr>
              <w:t>2</w:t>
            </w:r>
            <w:r>
              <w:rPr>
                <w:rFonts w:asciiTheme="minorHAnsi" w:eastAsiaTheme="minorEastAsia" w:hAnsiTheme="minorHAnsi" w:cstheme="minorBidi"/>
                <w:noProof/>
                <w:sz w:val="24"/>
                <w:szCs w:val="24"/>
                <w:lang w:eastAsia="en-AU"/>
              </w:rPr>
              <w:tab/>
            </w:r>
            <w:r w:rsidRPr="00E0486E">
              <w:rPr>
                <w:rStyle w:val="Hyperlink"/>
                <w:noProof/>
              </w:rPr>
              <w:t>Executive Summary</w:t>
            </w:r>
            <w:r>
              <w:rPr>
                <w:noProof/>
                <w:webHidden/>
              </w:rPr>
              <w:tab/>
            </w:r>
            <w:r>
              <w:rPr>
                <w:noProof/>
                <w:webHidden/>
              </w:rPr>
              <w:fldChar w:fldCharType="begin"/>
            </w:r>
            <w:r>
              <w:rPr>
                <w:noProof/>
                <w:webHidden/>
              </w:rPr>
              <w:instrText xml:space="preserve"> PAGEREF _Toc218961910 \h </w:instrText>
            </w:r>
            <w:r>
              <w:rPr>
                <w:noProof/>
                <w:webHidden/>
              </w:rPr>
            </w:r>
            <w:r>
              <w:rPr>
                <w:noProof/>
                <w:webHidden/>
              </w:rPr>
              <w:fldChar w:fldCharType="separate"/>
            </w:r>
            <w:r>
              <w:rPr>
                <w:noProof/>
                <w:webHidden/>
              </w:rPr>
              <w:t>1</w:t>
            </w:r>
            <w:r>
              <w:rPr>
                <w:noProof/>
                <w:webHidden/>
              </w:rPr>
              <w:fldChar w:fldCharType="end"/>
            </w:r>
          </w:hyperlink>
        </w:p>
        <w:p w14:paraId="2133BCAB" w14:textId="606A112A" w:rsidR="00743135" w:rsidRDefault="00743135">
          <w:pPr>
            <w:pStyle w:val="TOC3"/>
            <w:tabs>
              <w:tab w:val="left" w:pos="1440"/>
              <w:tab w:val="right" w:leader="dot" w:pos="9968"/>
            </w:tabs>
            <w:rPr>
              <w:noProof/>
            </w:rPr>
          </w:pPr>
          <w:hyperlink w:anchor="_Toc218961911" w:history="1">
            <w:r w:rsidRPr="00E0486E">
              <w:rPr>
                <w:rStyle w:val="Hyperlink"/>
                <w:noProof/>
              </w:rPr>
              <w:t>2.1.1</w:t>
            </w:r>
            <w:r>
              <w:rPr>
                <w:noProof/>
              </w:rPr>
              <w:tab/>
            </w:r>
            <w:r w:rsidRPr="00E0486E">
              <w:rPr>
                <w:rStyle w:val="Hyperlink"/>
                <w:noProof/>
              </w:rPr>
              <w:t>1. Overview of Offer</w:t>
            </w:r>
            <w:r>
              <w:rPr>
                <w:noProof/>
                <w:webHidden/>
              </w:rPr>
              <w:tab/>
            </w:r>
            <w:r>
              <w:rPr>
                <w:noProof/>
                <w:webHidden/>
              </w:rPr>
              <w:fldChar w:fldCharType="begin"/>
            </w:r>
            <w:r>
              <w:rPr>
                <w:noProof/>
                <w:webHidden/>
              </w:rPr>
              <w:instrText xml:space="preserve"> PAGEREF _Toc218961911 \h </w:instrText>
            </w:r>
            <w:r>
              <w:rPr>
                <w:noProof/>
                <w:webHidden/>
              </w:rPr>
            </w:r>
            <w:r>
              <w:rPr>
                <w:noProof/>
                <w:webHidden/>
              </w:rPr>
              <w:fldChar w:fldCharType="separate"/>
            </w:r>
            <w:r>
              <w:rPr>
                <w:noProof/>
                <w:webHidden/>
              </w:rPr>
              <w:t>1</w:t>
            </w:r>
            <w:r>
              <w:rPr>
                <w:noProof/>
                <w:webHidden/>
              </w:rPr>
              <w:fldChar w:fldCharType="end"/>
            </w:r>
          </w:hyperlink>
        </w:p>
        <w:p w14:paraId="58D9ADC2" w14:textId="7D7EEAE6" w:rsidR="00743135" w:rsidRDefault="00743135">
          <w:pPr>
            <w:pStyle w:val="TOC3"/>
            <w:tabs>
              <w:tab w:val="left" w:pos="1440"/>
              <w:tab w:val="right" w:leader="dot" w:pos="9968"/>
            </w:tabs>
            <w:rPr>
              <w:noProof/>
            </w:rPr>
          </w:pPr>
          <w:hyperlink w:anchor="_Toc218961912" w:history="1">
            <w:r w:rsidRPr="00E0486E">
              <w:rPr>
                <w:rStyle w:val="Hyperlink"/>
                <w:noProof/>
              </w:rPr>
              <w:t>2.1.2</w:t>
            </w:r>
            <w:r>
              <w:rPr>
                <w:noProof/>
              </w:rPr>
              <w:tab/>
            </w:r>
            <w:r w:rsidRPr="00E0486E">
              <w:rPr>
                <w:rStyle w:val="Hyperlink"/>
                <w:noProof/>
              </w:rPr>
              <w:t>2. Experience and Capability</w:t>
            </w:r>
            <w:r>
              <w:rPr>
                <w:noProof/>
                <w:webHidden/>
              </w:rPr>
              <w:tab/>
            </w:r>
            <w:r>
              <w:rPr>
                <w:noProof/>
                <w:webHidden/>
              </w:rPr>
              <w:fldChar w:fldCharType="begin"/>
            </w:r>
            <w:r>
              <w:rPr>
                <w:noProof/>
                <w:webHidden/>
              </w:rPr>
              <w:instrText xml:space="preserve"> PAGEREF _Toc218961912 \h </w:instrText>
            </w:r>
            <w:r>
              <w:rPr>
                <w:noProof/>
                <w:webHidden/>
              </w:rPr>
            </w:r>
            <w:r>
              <w:rPr>
                <w:noProof/>
                <w:webHidden/>
              </w:rPr>
              <w:fldChar w:fldCharType="separate"/>
            </w:r>
            <w:r>
              <w:rPr>
                <w:noProof/>
                <w:webHidden/>
              </w:rPr>
              <w:t>1</w:t>
            </w:r>
            <w:r>
              <w:rPr>
                <w:noProof/>
                <w:webHidden/>
              </w:rPr>
              <w:fldChar w:fldCharType="end"/>
            </w:r>
          </w:hyperlink>
        </w:p>
        <w:p w14:paraId="31EBC9D0" w14:textId="59DE4930" w:rsidR="00743135" w:rsidRDefault="00743135">
          <w:pPr>
            <w:pStyle w:val="TOC3"/>
            <w:tabs>
              <w:tab w:val="left" w:pos="1440"/>
              <w:tab w:val="right" w:leader="dot" w:pos="9968"/>
            </w:tabs>
            <w:rPr>
              <w:noProof/>
            </w:rPr>
          </w:pPr>
          <w:hyperlink w:anchor="_Toc218961913" w:history="1">
            <w:r w:rsidRPr="00E0486E">
              <w:rPr>
                <w:rStyle w:val="Hyperlink"/>
                <w:noProof/>
              </w:rPr>
              <w:t>2.1.3</w:t>
            </w:r>
            <w:r>
              <w:rPr>
                <w:noProof/>
              </w:rPr>
              <w:tab/>
            </w:r>
            <w:r w:rsidRPr="00E0486E">
              <w:rPr>
                <w:rStyle w:val="Hyperlink"/>
                <w:noProof/>
              </w:rPr>
              <w:t>3. Methodology: Operational Continuity &amp; Safety</w:t>
            </w:r>
            <w:r>
              <w:rPr>
                <w:noProof/>
                <w:webHidden/>
              </w:rPr>
              <w:tab/>
            </w:r>
            <w:r>
              <w:rPr>
                <w:noProof/>
                <w:webHidden/>
              </w:rPr>
              <w:fldChar w:fldCharType="begin"/>
            </w:r>
            <w:r>
              <w:rPr>
                <w:noProof/>
                <w:webHidden/>
              </w:rPr>
              <w:instrText xml:space="preserve"> PAGEREF _Toc218961913 \h </w:instrText>
            </w:r>
            <w:r>
              <w:rPr>
                <w:noProof/>
                <w:webHidden/>
              </w:rPr>
            </w:r>
            <w:r>
              <w:rPr>
                <w:noProof/>
                <w:webHidden/>
              </w:rPr>
              <w:fldChar w:fldCharType="separate"/>
            </w:r>
            <w:r>
              <w:rPr>
                <w:noProof/>
                <w:webHidden/>
              </w:rPr>
              <w:t>1</w:t>
            </w:r>
            <w:r>
              <w:rPr>
                <w:noProof/>
                <w:webHidden/>
              </w:rPr>
              <w:fldChar w:fldCharType="end"/>
            </w:r>
          </w:hyperlink>
        </w:p>
        <w:p w14:paraId="3DA9FE57" w14:textId="0C906F6D" w:rsidR="00743135" w:rsidRDefault="00743135">
          <w:pPr>
            <w:pStyle w:val="TOC3"/>
            <w:tabs>
              <w:tab w:val="left" w:pos="1440"/>
              <w:tab w:val="right" w:leader="dot" w:pos="9968"/>
            </w:tabs>
            <w:rPr>
              <w:noProof/>
            </w:rPr>
          </w:pPr>
          <w:hyperlink w:anchor="_Toc218961914" w:history="1">
            <w:r w:rsidRPr="00E0486E">
              <w:rPr>
                <w:rStyle w:val="Hyperlink"/>
                <w:noProof/>
              </w:rPr>
              <w:t>2.1.4</w:t>
            </w:r>
            <w:r>
              <w:rPr>
                <w:noProof/>
              </w:rPr>
              <w:tab/>
            </w:r>
            <w:r w:rsidRPr="00E0486E">
              <w:rPr>
                <w:rStyle w:val="Hyperlink"/>
                <w:noProof/>
              </w:rPr>
              <w:t>4. Program Certainty</w:t>
            </w:r>
            <w:r>
              <w:rPr>
                <w:noProof/>
                <w:webHidden/>
              </w:rPr>
              <w:tab/>
            </w:r>
            <w:r>
              <w:rPr>
                <w:noProof/>
                <w:webHidden/>
              </w:rPr>
              <w:fldChar w:fldCharType="begin"/>
            </w:r>
            <w:r>
              <w:rPr>
                <w:noProof/>
                <w:webHidden/>
              </w:rPr>
              <w:instrText xml:space="preserve"> PAGEREF _Toc218961914 \h </w:instrText>
            </w:r>
            <w:r>
              <w:rPr>
                <w:noProof/>
                <w:webHidden/>
              </w:rPr>
            </w:r>
            <w:r>
              <w:rPr>
                <w:noProof/>
                <w:webHidden/>
              </w:rPr>
              <w:fldChar w:fldCharType="separate"/>
            </w:r>
            <w:r>
              <w:rPr>
                <w:noProof/>
                <w:webHidden/>
              </w:rPr>
              <w:t>1</w:t>
            </w:r>
            <w:r>
              <w:rPr>
                <w:noProof/>
                <w:webHidden/>
              </w:rPr>
              <w:fldChar w:fldCharType="end"/>
            </w:r>
          </w:hyperlink>
        </w:p>
        <w:p w14:paraId="3D8F17E9" w14:textId="15CA6560" w:rsidR="00743135" w:rsidRDefault="00743135">
          <w:pPr>
            <w:pStyle w:val="TOC3"/>
            <w:tabs>
              <w:tab w:val="left" w:pos="1440"/>
              <w:tab w:val="right" w:leader="dot" w:pos="9968"/>
            </w:tabs>
            <w:rPr>
              <w:noProof/>
            </w:rPr>
          </w:pPr>
          <w:hyperlink w:anchor="_Toc218961915" w:history="1">
            <w:r w:rsidRPr="00E0486E">
              <w:rPr>
                <w:rStyle w:val="Hyperlink"/>
                <w:noProof/>
              </w:rPr>
              <w:t>2.1.5</w:t>
            </w:r>
            <w:r>
              <w:rPr>
                <w:noProof/>
              </w:rPr>
              <w:tab/>
            </w:r>
            <w:r w:rsidRPr="00E0486E">
              <w:rPr>
                <w:rStyle w:val="Hyperlink"/>
                <w:noProof/>
              </w:rPr>
              <w:t>5. Local Industry Participation and Social Value</w:t>
            </w:r>
            <w:r>
              <w:rPr>
                <w:noProof/>
                <w:webHidden/>
              </w:rPr>
              <w:tab/>
            </w:r>
            <w:r>
              <w:rPr>
                <w:noProof/>
                <w:webHidden/>
              </w:rPr>
              <w:fldChar w:fldCharType="begin"/>
            </w:r>
            <w:r>
              <w:rPr>
                <w:noProof/>
                <w:webHidden/>
              </w:rPr>
              <w:instrText xml:space="preserve"> PAGEREF _Toc218961915 \h </w:instrText>
            </w:r>
            <w:r>
              <w:rPr>
                <w:noProof/>
                <w:webHidden/>
              </w:rPr>
            </w:r>
            <w:r>
              <w:rPr>
                <w:noProof/>
                <w:webHidden/>
              </w:rPr>
              <w:fldChar w:fldCharType="separate"/>
            </w:r>
            <w:r>
              <w:rPr>
                <w:noProof/>
                <w:webHidden/>
              </w:rPr>
              <w:t>2</w:t>
            </w:r>
            <w:r>
              <w:rPr>
                <w:noProof/>
                <w:webHidden/>
              </w:rPr>
              <w:fldChar w:fldCharType="end"/>
            </w:r>
          </w:hyperlink>
        </w:p>
        <w:p w14:paraId="35952A59" w14:textId="60B78AF0" w:rsidR="00743135" w:rsidRDefault="00743135">
          <w:pPr>
            <w:pStyle w:val="TOC3"/>
            <w:tabs>
              <w:tab w:val="left" w:pos="1440"/>
              <w:tab w:val="right" w:leader="dot" w:pos="9968"/>
            </w:tabs>
            <w:rPr>
              <w:noProof/>
            </w:rPr>
          </w:pPr>
          <w:hyperlink w:anchor="_Toc218961916" w:history="1">
            <w:r w:rsidRPr="00E0486E">
              <w:rPr>
                <w:rStyle w:val="Hyperlink"/>
                <w:noProof/>
              </w:rPr>
              <w:t>2.1.6</w:t>
            </w:r>
            <w:r>
              <w:rPr>
                <w:noProof/>
              </w:rPr>
              <w:tab/>
            </w:r>
            <w:r w:rsidRPr="00E0486E">
              <w:rPr>
                <w:rStyle w:val="Hyperlink"/>
                <w:noProof/>
              </w:rPr>
              <w:t>6. The Project Team</w:t>
            </w:r>
            <w:r>
              <w:rPr>
                <w:noProof/>
                <w:webHidden/>
              </w:rPr>
              <w:tab/>
            </w:r>
            <w:r>
              <w:rPr>
                <w:noProof/>
                <w:webHidden/>
              </w:rPr>
              <w:fldChar w:fldCharType="begin"/>
            </w:r>
            <w:r>
              <w:rPr>
                <w:noProof/>
                <w:webHidden/>
              </w:rPr>
              <w:instrText xml:space="preserve"> PAGEREF _Toc218961916 \h </w:instrText>
            </w:r>
            <w:r>
              <w:rPr>
                <w:noProof/>
                <w:webHidden/>
              </w:rPr>
            </w:r>
            <w:r>
              <w:rPr>
                <w:noProof/>
                <w:webHidden/>
              </w:rPr>
              <w:fldChar w:fldCharType="separate"/>
            </w:r>
            <w:r>
              <w:rPr>
                <w:noProof/>
                <w:webHidden/>
              </w:rPr>
              <w:t>2</w:t>
            </w:r>
            <w:r>
              <w:rPr>
                <w:noProof/>
                <w:webHidden/>
              </w:rPr>
              <w:fldChar w:fldCharType="end"/>
            </w:r>
          </w:hyperlink>
        </w:p>
        <w:p w14:paraId="368676F8" w14:textId="243CE927" w:rsidR="00743135" w:rsidRDefault="00743135">
          <w:pPr>
            <w:pStyle w:val="TOC3"/>
            <w:tabs>
              <w:tab w:val="left" w:pos="1440"/>
              <w:tab w:val="right" w:leader="dot" w:pos="9968"/>
            </w:tabs>
            <w:rPr>
              <w:noProof/>
            </w:rPr>
          </w:pPr>
          <w:hyperlink w:anchor="_Toc218961917" w:history="1">
            <w:r w:rsidRPr="00E0486E">
              <w:rPr>
                <w:rStyle w:val="Hyperlink"/>
                <w:noProof/>
              </w:rPr>
              <w:t>2.1.7</w:t>
            </w:r>
            <w:r>
              <w:rPr>
                <w:noProof/>
              </w:rPr>
              <w:tab/>
            </w:r>
            <w:r w:rsidRPr="00E0486E">
              <w:rPr>
                <w:rStyle w:val="Hyperlink"/>
                <w:noProof/>
              </w:rPr>
              <w:t>7. Conclusion</w:t>
            </w:r>
            <w:r>
              <w:rPr>
                <w:noProof/>
                <w:webHidden/>
              </w:rPr>
              <w:tab/>
            </w:r>
            <w:r>
              <w:rPr>
                <w:noProof/>
                <w:webHidden/>
              </w:rPr>
              <w:fldChar w:fldCharType="begin"/>
            </w:r>
            <w:r>
              <w:rPr>
                <w:noProof/>
                <w:webHidden/>
              </w:rPr>
              <w:instrText xml:space="preserve"> PAGEREF _Toc218961917 \h </w:instrText>
            </w:r>
            <w:r>
              <w:rPr>
                <w:noProof/>
                <w:webHidden/>
              </w:rPr>
            </w:r>
            <w:r>
              <w:rPr>
                <w:noProof/>
                <w:webHidden/>
              </w:rPr>
              <w:fldChar w:fldCharType="separate"/>
            </w:r>
            <w:r>
              <w:rPr>
                <w:noProof/>
                <w:webHidden/>
              </w:rPr>
              <w:t>2</w:t>
            </w:r>
            <w:r>
              <w:rPr>
                <w:noProof/>
                <w:webHidden/>
              </w:rPr>
              <w:fldChar w:fldCharType="end"/>
            </w:r>
          </w:hyperlink>
        </w:p>
        <w:p w14:paraId="5F8ECB61" w14:textId="78444E9B" w:rsidR="00743135" w:rsidRDefault="00743135">
          <w:pPr>
            <w:pStyle w:val="TOC1"/>
            <w:tabs>
              <w:tab w:val="left" w:pos="400"/>
              <w:tab w:val="right" w:leader="dot" w:pos="9968"/>
            </w:tabs>
            <w:rPr>
              <w:rFonts w:asciiTheme="minorHAnsi" w:eastAsiaTheme="minorEastAsia" w:hAnsiTheme="minorHAnsi" w:cstheme="minorBidi"/>
              <w:noProof/>
              <w:sz w:val="24"/>
              <w:szCs w:val="24"/>
              <w:lang w:eastAsia="en-AU"/>
            </w:rPr>
          </w:pPr>
          <w:hyperlink w:anchor="_Toc218961918" w:history="1">
            <w:r w:rsidRPr="00E0486E">
              <w:rPr>
                <w:rStyle w:val="Hyperlink"/>
                <w:noProof/>
              </w:rPr>
              <w:t>3</w:t>
            </w:r>
            <w:r>
              <w:rPr>
                <w:rFonts w:asciiTheme="minorHAnsi" w:eastAsiaTheme="minorEastAsia" w:hAnsiTheme="minorHAnsi" w:cstheme="minorBidi"/>
                <w:noProof/>
                <w:sz w:val="24"/>
                <w:szCs w:val="24"/>
                <w:lang w:eastAsia="en-AU"/>
              </w:rPr>
              <w:tab/>
            </w:r>
            <w:r w:rsidRPr="00E0486E">
              <w:rPr>
                <w:rStyle w:val="Hyperlink"/>
                <w:noProof/>
              </w:rPr>
              <w:t>Case Studies</w:t>
            </w:r>
            <w:r>
              <w:rPr>
                <w:noProof/>
                <w:webHidden/>
              </w:rPr>
              <w:tab/>
            </w:r>
            <w:r>
              <w:rPr>
                <w:noProof/>
                <w:webHidden/>
              </w:rPr>
              <w:fldChar w:fldCharType="begin"/>
            </w:r>
            <w:r>
              <w:rPr>
                <w:noProof/>
                <w:webHidden/>
              </w:rPr>
              <w:instrText xml:space="preserve"> PAGEREF _Toc218961918 \h </w:instrText>
            </w:r>
            <w:r>
              <w:rPr>
                <w:noProof/>
                <w:webHidden/>
              </w:rPr>
            </w:r>
            <w:r>
              <w:rPr>
                <w:noProof/>
                <w:webHidden/>
              </w:rPr>
              <w:fldChar w:fldCharType="separate"/>
            </w:r>
            <w:r>
              <w:rPr>
                <w:noProof/>
                <w:webHidden/>
              </w:rPr>
              <w:t>3</w:t>
            </w:r>
            <w:r>
              <w:rPr>
                <w:noProof/>
                <w:webHidden/>
              </w:rPr>
              <w:fldChar w:fldCharType="end"/>
            </w:r>
          </w:hyperlink>
        </w:p>
        <w:p w14:paraId="041D266D" w14:textId="62D81D75" w:rsidR="00743135" w:rsidRDefault="00743135">
          <w:pPr>
            <w:pStyle w:val="TOC1"/>
            <w:tabs>
              <w:tab w:val="left" w:pos="400"/>
              <w:tab w:val="right" w:leader="dot" w:pos="9968"/>
            </w:tabs>
            <w:rPr>
              <w:rFonts w:asciiTheme="minorHAnsi" w:eastAsiaTheme="minorEastAsia" w:hAnsiTheme="minorHAnsi" w:cstheme="minorBidi"/>
              <w:noProof/>
              <w:sz w:val="24"/>
              <w:szCs w:val="24"/>
              <w:lang w:eastAsia="en-AU"/>
            </w:rPr>
          </w:pPr>
          <w:hyperlink w:anchor="_Toc218961919" w:history="1">
            <w:r w:rsidRPr="00E0486E">
              <w:rPr>
                <w:rStyle w:val="Hyperlink"/>
                <w:noProof/>
              </w:rPr>
              <w:t>4</w:t>
            </w:r>
            <w:r>
              <w:rPr>
                <w:rFonts w:asciiTheme="minorHAnsi" w:eastAsiaTheme="minorEastAsia" w:hAnsiTheme="minorHAnsi" w:cstheme="minorBidi"/>
                <w:noProof/>
                <w:sz w:val="24"/>
                <w:szCs w:val="24"/>
                <w:lang w:eastAsia="en-AU"/>
              </w:rPr>
              <w:tab/>
            </w:r>
            <w:r w:rsidRPr="00E0486E">
              <w:rPr>
                <w:rStyle w:val="Hyperlink"/>
                <w:noProof/>
              </w:rPr>
              <w:t>Volume 1: Commercial Offer</w:t>
            </w:r>
            <w:r>
              <w:rPr>
                <w:noProof/>
                <w:webHidden/>
              </w:rPr>
              <w:tab/>
            </w:r>
            <w:r>
              <w:rPr>
                <w:noProof/>
                <w:webHidden/>
              </w:rPr>
              <w:fldChar w:fldCharType="begin"/>
            </w:r>
            <w:r>
              <w:rPr>
                <w:noProof/>
                <w:webHidden/>
              </w:rPr>
              <w:instrText xml:space="preserve"> PAGEREF _Toc218961919 \h </w:instrText>
            </w:r>
            <w:r>
              <w:rPr>
                <w:noProof/>
                <w:webHidden/>
              </w:rPr>
            </w:r>
            <w:r>
              <w:rPr>
                <w:noProof/>
                <w:webHidden/>
              </w:rPr>
              <w:fldChar w:fldCharType="separate"/>
            </w:r>
            <w:r>
              <w:rPr>
                <w:noProof/>
                <w:webHidden/>
              </w:rPr>
              <w:t>3</w:t>
            </w:r>
            <w:r>
              <w:rPr>
                <w:noProof/>
                <w:webHidden/>
              </w:rPr>
              <w:fldChar w:fldCharType="end"/>
            </w:r>
          </w:hyperlink>
        </w:p>
        <w:p w14:paraId="6D57E36F" w14:textId="48C966F6" w:rsidR="00743135" w:rsidRDefault="00743135">
          <w:pPr>
            <w:pStyle w:val="TOC2"/>
            <w:tabs>
              <w:tab w:val="left" w:pos="720"/>
              <w:tab w:val="right" w:leader="dot" w:pos="9968"/>
            </w:tabs>
            <w:rPr>
              <w:rFonts w:asciiTheme="minorHAnsi" w:eastAsiaTheme="minorEastAsia" w:hAnsiTheme="minorHAnsi" w:cstheme="minorBidi"/>
              <w:noProof/>
              <w:sz w:val="24"/>
              <w:szCs w:val="24"/>
              <w:lang w:eastAsia="en-AU"/>
            </w:rPr>
          </w:pPr>
          <w:hyperlink w:anchor="_Toc218961920" w:history="1">
            <w:r w:rsidRPr="00E0486E">
              <w:rPr>
                <w:rStyle w:val="Hyperlink"/>
                <w:noProof/>
              </w:rPr>
              <w:t>4.1</w:t>
            </w:r>
            <w:r>
              <w:rPr>
                <w:rFonts w:asciiTheme="minorHAnsi" w:eastAsiaTheme="minorEastAsia" w:hAnsiTheme="minorHAnsi" w:cstheme="minorBidi"/>
                <w:noProof/>
                <w:sz w:val="24"/>
                <w:szCs w:val="24"/>
                <w:lang w:eastAsia="en-AU"/>
              </w:rPr>
              <w:tab/>
            </w:r>
            <w:r w:rsidRPr="00E0486E">
              <w:rPr>
                <w:rStyle w:val="Hyperlink"/>
                <w:noProof/>
              </w:rPr>
              <w:t>Schedule 1: Tender Form</w:t>
            </w:r>
            <w:r>
              <w:rPr>
                <w:noProof/>
                <w:webHidden/>
              </w:rPr>
              <w:tab/>
            </w:r>
            <w:r>
              <w:rPr>
                <w:noProof/>
                <w:webHidden/>
              </w:rPr>
              <w:fldChar w:fldCharType="begin"/>
            </w:r>
            <w:r>
              <w:rPr>
                <w:noProof/>
                <w:webHidden/>
              </w:rPr>
              <w:instrText xml:space="preserve"> PAGEREF _Toc218961920 \h </w:instrText>
            </w:r>
            <w:r>
              <w:rPr>
                <w:noProof/>
                <w:webHidden/>
              </w:rPr>
            </w:r>
            <w:r>
              <w:rPr>
                <w:noProof/>
                <w:webHidden/>
              </w:rPr>
              <w:fldChar w:fldCharType="separate"/>
            </w:r>
            <w:r>
              <w:rPr>
                <w:noProof/>
                <w:webHidden/>
              </w:rPr>
              <w:t>3</w:t>
            </w:r>
            <w:r>
              <w:rPr>
                <w:noProof/>
                <w:webHidden/>
              </w:rPr>
              <w:fldChar w:fldCharType="end"/>
            </w:r>
          </w:hyperlink>
        </w:p>
        <w:p w14:paraId="5FBD103C" w14:textId="4E304EC1" w:rsidR="00743135" w:rsidRDefault="00743135">
          <w:pPr>
            <w:pStyle w:val="TOC2"/>
            <w:tabs>
              <w:tab w:val="left" w:pos="720"/>
              <w:tab w:val="right" w:leader="dot" w:pos="9968"/>
            </w:tabs>
            <w:rPr>
              <w:rFonts w:asciiTheme="minorHAnsi" w:eastAsiaTheme="minorEastAsia" w:hAnsiTheme="minorHAnsi" w:cstheme="minorBidi"/>
              <w:noProof/>
              <w:sz w:val="24"/>
              <w:szCs w:val="24"/>
              <w:lang w:eastAsia="en-AU"/>
            </w:rPr>
          </w:pPr>
          <w:hyperlink w:anchor="_Toc218961921" w:history="1">
            <w:r w:rsidRPr="00E0486E">
              <w:rPr>
                <w:rStyle w:val="Hyperlink"/>
                <w:noProof/>
              </w:rPr>
              <w:t>4.2</w:t>
            </w:r>
            <w:r>
              <w:rPr>
                <w:rFonts w:asciiTheme="minorHAnsi" w:eastAsiaTheme="minorEastAsia" w:hAnsiTheme="minorHAnsi" w:cstheme="minorBidi"/>
                <w:noProof/>
                <w:sz w:val="24"/>
                <w:szCs w:val="24"/>
                <w:lang w:eastAsia="en-AU"/>
              </w:rPr>
              <w:tab/>
            </w:r>
            <w:r w:rsidRPr="00E0486E">
              <w:rPr>
                <w:rStyle w:val="Hyperlink"/>
                <w:noProof/>
              </w:rPr>
              <w:t>Schedule 3: Pricing Breakdown</w:t>
            </w:r>
            <w:r>
              <w:rPr>
                <w:noProof/>
                <w:webHidden/>
              </w:rPr>
              <w:tab/>
            </w:r>
            <w:r>
              <w:rPr>
                <w:noProof/>
                <w:webHidden/>
              </w:rPr>
              <w:fldChar w:fldCharType="begin"/>
            </w:r>
            <w:r>
              <w:rPr>
                <w:noProof/>
                <w:webHidden/>
              </w:rPr>
              <w:instrText xml:space="preserve"> PAGEREF _Toc218961921 \h </w:instrText>
            </w:r>
            <w:r>
              <w:rPr>
                <w:noProof/>
                <w:webHidden/>
              </w:rPr>
            </w:r>
            <w:r>
              <w:rPr>
                <w:noProof/>
                <w:webHidden/>
              </w:rPr>
              <w:fldChar w:fldCharType="separate"/>
            </w:r>
            <w:r>
              <w:rPr>
                <w:noProof/>
                <w:webHidden/>
              </w:rPr>
              <w:t>3</w:t>
            </w:r>
            <w:r>
              <w:rPr>
                <w:noProof/>
                <w:webHidden/>
              </w:rPr>
              <w:fldChar w:fldCharType="end"/>
            </w:r>
          </w:hyperlink>
        </w:p>
        <w:p w14:paraId="7324B1D3" w14:textId="6A5EC57C" w:rsidR="00743135" w:rsidRDefault="00743135">
          <w:pPr>
            <w:pStyle w:val="TOC3"/>
            <w:tabs>
              <w:tab w:val="left" w:pos="1440"/>
              <w:tab w:val="right" w:leader="dot" w:pos="9968"/>
            </w:tabs>
            <w:rPr>
              <w:noProof/>
            </w:rPr>
          </w:pPr>
          <w:hyperlink w:anchor="_Toc218961922" w:history="1">
            <w:r w:rsidRPr="00E0486E">
              <w:rPr>
                <w:rStyle w:val="Hyperlink"/>
                <w:noProof/>
              </w:rPr>
              <w:t>4.2.1</w:t>
            </w:r>
            <w:r>
              <w:rPr>
                <w:noProof/>
              </w:rPr>
              <w:tab/>
            </w:r>
            <w:r w:rsidRPr="00E0486E">
              <w:rPr>
                <w:rStyle w:val="Hyperlink"/>
                <w:noProof/>
              </w:rPr>
              <w:t>Simplified Breakdown</w:t>
            </w:r>
            <w:r>
              <w:rPr>
                <w:noProof/>
                <w:webHidden/>
              </w:rPr>
              <w:tab/>
            </w:r>
            <w:r>
              <w:rPr>
                <w:noProof/>
                <w:webHidden/>
              </w:rPr>
              <w:fldChar w:fldCharType="begin"/>
            </w:r>
            <w:r>
              <w:rPr>
                <w:noProof/>
                <w:webHidden/>
              </w:rPr>
              <w:instrText xml:space="preserve"> PAGEREF _Toc218961922 \h </w:instrText>
            </w:r>
            <w:r>
              <w:rPr>
                <w:noProof/>
                <w:webHidden/>
              </w:rPr>
            </w:r>
            <w:r>
              <w:rPr>
                <w:noProof/>
                <w:webHidden/>
              </w:rPr>
              <w:fldChar w:fldCharType="separate"/>
            </w:r>
            <w:r>
              <w:rPr>
                <w:noProof/>
                <w:webHidden/>
              </w:rPr>
              <w:t>3</w:t>
            </w:r>
            <w:r>
              <w:rPr>
                <w:noProof/>
                <w:webHidden/>
              </w:rPr>
              <w:fldChar w:fldCharType="end"/>
            </w:r>
          </w:hyperlink>
        </w:p>
        <w:p w14:paraId="61C6D84C" w14:textId="1B1187BD" w:rsidR="00743135" w:rsidRDefault="00743135">
          <w:pPr>
            <w:pStyle w:val="TOC3"/>
            <w:tabs>
              <w:tab w:val="left" w:pos="1440"/>
              <w:tab w:val="right" w:leader="dot" w:pos="9968"/>
            </w:tabs>
            <w:rPr>
              <w:noProof/>
            </w:rPr>
          </w:pPr>
          <w:hyperlink w:anchor="_Toc218961923" w:history="1">
            <w:r w:rsidRPr="00E0486E">
              <w:rPr>
                <w:rStyle w:val="Hyperlink"/>
                <w:noProof/>
              </w:rPr>
              <w:t>4.2.2</w:t>
            </w:r>
            <w:r>
              <w:rPr>
                <w:noProof/>
              </w:rPr>
              <w:tab/>
            </w:r>
            <w:r w:rsidRPr="00E0486E">
              <w:rPr>
                <w:rStyle w:val="Hyperlink"/>
                <w:noProof/>
              </w:rPr>
              <w:t>Detailed Bill of Quantities</w:t>
            </w:r>
            <w:r>
              <w:rPr>
                <w:noProof/>
                <w:webHidden/>
              </w:rPr>
              <w:tab/>
            </w:r>
            <w:r>
              <w:rPr>
                <w:noProof/>
                <w:webHidden/>
              </w:rPr>
              <w:fldChar w:fldCharType="begin"/>
            </w:r>
            <w:r>
              <w:rPr>
                <w:noProof/>
                <w:webHidden/>
              </w:rPr>
              <w:instrText xml:space="preserve"> PAGEREF _Toc218961923 \h </w:instrText>
            </w:r>
            <w:r>
              <w:rPr>
                <w:noProof/>
                <w:webHidden/>
              </w:rPr>
            </w:r>
            <w:r>
              <w:rPr>
                <w:noProof/>
                <w:webHidden/>
              </w:rPr>
              <w:fldChar w:fldCharType="separate"/>
            </w:r>
            <w:r>
              <w:rPr>
                <w:noProof/>
                <w:webHidden/>
              </w:rPr>
              <w:t>3</w:t>
            </w:r>
            <w:r>
              <w:rPr>
                <w:noProof/>
                <w:webHidden/>
              </w:rPr>
              <w:fldChar w:fldCharType="end"/>
            </w:r>
          </w:hyperlink>
        </w:p>
        <w:p w14:paraId="2464C423" w14:textId="7A06407D" w:rsidR="00743135" w:rsidRDefault="00743135">
          <w:pPr>
            <w:pStyle w:val="TOC2"/>
            <w:tabs>
              <w:tab w:val="left" w:pos="720"/>
              <w:tab w:val="right" w:leader="dot" w:pos="9968"/>
            </w:tabs>
            <w:rPr>
              <w:rFonts w:asciiTheme="minorHAnsi" w:eastAsiaTheme="minorEastAsia" w:hAnsiTheme="minorHAnsi" w:cstheme="minorBidi"/>
              <w:noProof/>
              <w:sz w:val="24"/>
              <w:szCs w:val="24"/>
              <w:lang w:eastAsia="en-AU"/>
            </w:rPr>
          </w:pPr>
          <w:hyperlink w:anchor="_Toc218961924" w:history="1">
            <w:r w:rsidRPr="00E0486E">
              <w:rPr>
                <w:rStyle w:val="Hyperlink"/>
                <w:noProof/>
              </w:rPr>
              <w:t>4.3</w:t>
            </w:r>
            <w:r>
              <w:rPr>
                <w:rFonts w:asciiTheme="minorHAnsi" w:eastAsiaTheme="minorEastAsia" w:hAnsiTheme="minorHAnsi" w:cstheme="minorBidi"/>
                <w:noProof/>
                <w:sz w:val="24"/>
                <w:szCs w:val="24"/>
                <w:lang w:eastAsia="en-AU"/>
              </w:rPr>
              <w:tab/>
            </w:r>
            <w:r w:rsidRPr="00E0486E">
              <w:rPr>
                <w:rStyle w:val="Hyperlink"/>
                <w:noProof/>
              </w:rPr>
              <w:t>Mandatory Requirements</w:t>
            </w:r>
            <w:r>
              <w:rPr>
                <w:noProof/>
                <w:webHidden/>
              </w:rPr>
              <w:tab/>
            </w:r>
            <w:r>
              <w:rPr>
                <w:noProof/>
                <w:webHidden/>
              </w:rPr>
              <w:fldChar w:fldCharType="begin"/>
            </w:r>
            <w:r>
              <w:rPr>
                <w:noProof/>
                <w:webHidden/>
              </w:rPr>
              <w:instrText xml:space="preserve"> PAGEREF _Toc218961924 \h </w:instrText>
            </w:r>
            <w:r>
              <w:rPr>
                <w:noProof/>
                <w:webHidden/>
              </w:rPr>
            </w:r>
            <w:r>
              <w:rPr>
                <w:noProof/>
                <w:webHidden/>
              </w:rPr>
              <w:fldChar w:fldCharType="separate"/>
            </w:r>
            <w:r>
              <w:rPr>
                <w:noProof/>
                <w:webHidden/>
              </w:rPr>
              <w:t>4</w:t>
            </w:r>
            <w:r>
              <w:rPr>
                <w:noProof/>
                <w:webHidden/>
              </w:rPr>
              <w:fldChar w:fldCharType="end"/>
            </w:r>
          </w:hyperlink>
        </w:p>
        <w:p w14:paraId="48C5351A" w14:textId="5517647E" w:rsidR="00743135" w:rsidRDefault="00743135">
          <w:pPr>
            <w:pStyle w:val="TOC3"/>
            <w:tabs>
              <w:tab w:val="left" w:pos="1440"/>
              <w:tab w:val="right" w:leader="dot" w:pos="9968"/>
            </w:tabs>
            <w:rPr>
              <w:noProof/>
            </w:rPr>
          </w:pPr>
          <w:hyperlink w:anchor="_Toc218961925" w:history="1">
            <w:r w:rsidRPr="00E0486E">
              <w:rPr>
                <w:rStyle w:val="Hyperlink"/>
                <w:noProof/>
              </w:rPr>
              <w:t>4.3.1</w:t>
            </w:r>
            <w:r>
              <w:rPr>
                <w:noProof/>
              </w:rPr>
              <w:tab/>
            </w:r>
            <w:r w:rsidRPr="00E0486E">
              <w:rPr>
                <w:rStyle w:val="Hyperlink"/>
                <w:noProof/>
              </w:rPr>
              <w:t>Building Licence</w:t>
            </w:r>
            <w:r>
              <w:rPr>
                <w:noProof/>
                <w:webHidden/>
              </w:rPr>
              <w:tab/>
            </w:r>
            <w:r>
              <w:rPr>
                <w:noProof/>
                <w:webHidden/>
              </w:rPr>
              <w:fldChar w:fldCharType="begin"/>
            </w:r>
            <w:r>
              <w:rPr>
                <w:noProof/>
                <w:webHidden/>
              </w:rPr>
              <w:instrText xml:space="preserve"> PAGEREF _Toc218961925 \h </w:instrText>
            </w:r>
            <w:r>
              <w:rPr>
                <w:noProof/>
                <w:webHidden/>
              </w:rPr>
            </w:r>
            <w:r>
              <w:rPr>
                <w:noProof/>
                <w:webHidden/>
              </w:rPr>
              <w:fldChar w:fldCharType="separate"/>
            </w:r>
            <w:r>
              <w:rPr>
                <w:noProof/>
                <w:webHidden/>
              </w:rPr>
              <w:t>4</w:t>
            </w:r>
            <w:r>
              <w:rPr>
                <w:noProof/>
                <w:webHidden/>
              </w:rPr>
              <w:fldChar w:fldCharType="end"/>
            </w:r>
          </w:hyperlink>
        </w:p>
        <w:p w14:paraId="5092FDBC" w14:textId="5BB8AA8B" w:rsidR="00743135" w:rsidRDefault="00743135">
          <w:pPr>
            <w:pStyle w:val="TOC3"/>
            <w:tabs>
              <w:tab w:val="left" w:pos="1440"/>
              <w:tab w:val="right" w:leader="dot" w:pos="9968"/>
            </w:tabs>
            <w:rPr>
              <w:noProof/>
            </w:rPr>
          </w:pPr>
          <w:hyperlink w:anchor="_Toc218961926" w:history="1">
            <w:r w:rsidRPr="00E0486E">
              <w:rPr>
                <w:rStyle w:val="Hyperlink"/>
                <w:noProof/>
              </w:rPr>
              <w:t>4.3.2</w:t>
            </w:r>
            <w:r>
              <w:rPr>
                <w:noProof/>
              </w:rPr>
              <w:tab/>
            </w:r>
            <w:r w:rsidRPr="00E0486E">
              <w:rPr>
                <w:rStyle w:val="Hyperlink"/>
                <w:noProof/>
              </w:rPr>
              <w:t>Public Liability Insurance</w:t>
            </w:r>
            <w:r>
              <w:rPr>
                <w:noProof/>
                <w:webHidden/>
              </w:rPr>
              <w:tab/>
            </w:r>
            <w:r>
              <w:rPr>
                <w:noProof/>
                <w:webHidden/>
              </w:rPr>
              <w:fldChar w:fldCharType="begin"/>
            </w:r>
            <w:r>
              <w:rPr>
                <w:noProof/>
                <w:webHidden/>
              </w:rPr>
              <w:instrText xml:space="preserve"> PAGEREF _Toc218961926 \h </w:instrText>
            </w:r>
            <w:r>
              <w:rPr>
                <w:noProof/>
                <w:webHidden/>
              </w:rPr>
            </w:r>
            <w:r>
              <w:rPr>
                <w:noProof/>
                <w:webHidden/>
              </w:rPr>
              <w:fldChar w:fldCharType="separate"/>
            </w:r>
            <w:r>
              <w:rPr>
                <w:noProof/>
                <w:webHidden/>
              </w:rPr>
              <w:t>4</w:t>
            </w:r>
            <w:r>
              <w:rPr>
                <w:noProof/>
                <w:webHidden/>
              </w:rPr>
              <w:fldChar w:fldCharType="end"/>
            </w:r>
          </w:hyperlink>
        </w:p>
        <w:p w14:paraId="321D0697" w14:textId="25CBE35D" w:rsidR="00743135" w:rsidRDefault="00743135">
          <w:pPr>
            <w:pStyle w:val="TOC3"/>
            <w:tabs>
              <w:tab w:val="left" w:pos="1440"/>
              <w:tab w:val="right" w:leader="dot" w:pos="9968"/>
            </w:tabs>
            <w:rPr>
              <w:noProof/>
            </w:rPr>
          </w:pPr>
          <w:hyperlink w:anchor="_Toc218961927" w:history="1">
            <w:r w:rsidRPr="00E0486E">
              <w:rPr>
                <w:rStyle w:val="Hyperlink"/>
                <w:noProof/>
              </w:rPr>
              <w:t>4.3.3</w:t>
            </w:r>
            <w:r>
              <w:rPr>
                <w:noProof/>
              </w:rPr>
              <w:tab/>
            </w:r>
            <w:r w:rsidRPr="00E0486E">
              <w:rPr>
                <w:rStyle w:val="Hyperlink"/>
                <w:noProof/>
              </w:rPr>
              <w:t>Workers Compensation Insurance</w:t>
            </w:r>
            <w:r>
              <w:rPr>
                <w:noProof/>
                <w:webHidden/>
              </w:rPr>
              <w:tab/>
            </w:r>
            <w:r>
              <w:rPr>
                <w:noProof/>
                <w:webHidden/>
              </w:rPr>
              <w:fldChar w:fldCharType="begin"/>
            </w:r>
            <w:r>
              <w:rPr>
                <w:noProof/>
                <w:webHidden/>
              </w:rPr>
              <w:instrText xml:space="preserve"> PAGEREF _Toc218961927 \h </w:instrText>
            </w:r>
            <w:r>
              <w:rPr>
                <w:noProof/>
                <w:webHidden/>
              </w:rPr>
            </w:r>
            <w:r>
              <w:rPr>
                <w:noProof/>
                <w:webHidden/>
              </w:rPr>
              <w:fldChar w:fldCharType="separate"/>
            </w:r>
            <w:r>
              <w:rPr>
                <w:noProof/>
                <w:webHidden/>
              </w:rPr>
              <w:t>4</w:t>
            </w:r>
            <w:r>
              <w:rPr>
                <w:noProof/>
                <w:webHidden/>
              </w:rPr>
              <w:fldChar w:fldCharType="end"/>
            </w:r>
          </w:hyperlink>
        </w:p>
        <w:p w14:paraId="1E929AE9" w14:textId="7CA75FB6" w:rsidR="00743135" w:rsidRDefault="00743135">
          <w:pPr>
            <w:pStyle w:val="TOC3"/>
            <w:tabs>
              <w:tab w:val="left" w:pos="1440"/>
              <w:tab w:val="right" w:leader="dot" w:pos="9968"/>
            </w:tabs>
            <w:rPr>
              <w:noProof/>
            </w:rPr>
          </w:pPr>
          <w:hyperlink w:anchor="_Toc218961928" w:history="1">
            <w:r w:rsidRPr="00E0486E">
              <w:rPr>
                <w:rStyle w:val="Hyperlink"/>
                <w:noProof/>
              </w:rPr>
              <w:t>4.3.4</w:t>
            </w:r>
            <w:r>
              <w:rPr>
                <w:noProof/>
              </w:rPr>
              <w:tab/>
            </w:r>
            <w:r w:rsidRPr="00E0486E">
              <w:rPr>
                <w:rStyle w:val="Hyperlink"/>
                <w:noProof/>
              </w:rPr>
              <w:t>Litigation and Insolvency Statement</w:t>
            </w:r>
            <w:r>
              <w:rPr>
                <w:noProof/>
                <w:webHidden/>
              </w:rPr>
              <w:tab/>
            </w:r>
            <w:r>
              <w:rPr>
                <w:noProof/>
                <w:webHidden/>
              </w:rPr>
              <w:fldChar w:fldCharType="begin"/>
            </w:r>
            <w:r>
              <w:rPr>
                <w:noProof/>
                <w:webHidden/>
              </w:rPr>
              <w:instrText xml:space="preserve"> PAGEREF _Toc218961928 \h </w:instrText>
            </w:r>
            <w:r>
              <w:rPr>
                <w:noProof/>
                <w:webHidden/>
              </w:rPr>
            </w:r>
            <w:r>
              <w:rPr>
                <w:noProof/>
                <w:webHidden/>
              </w:rPr>
              <w:fldChar w:fldCharType="separate"/>
            </w:r>
            <w:r>
              <w:rPr>
                <w:noProof/>
                <w:webHidden/>
              </w:rPr>
              <w:t>4</w:t>
            </w:r>
            <w:r>
              <w:rPr>
                <w:noProof/>
                <w:webHidden/>
              </w:rPr>
              <w:fldChar w:fldCharType="end"/>
            </w:r>
          </w:hyperlink>
        </w:p>
        <w:p w14:paraId="794D9E21" w14:textId="41F93F93" w:rsidR="00743135" w:rsidRDefault="00743135">
          <w:pPr>
            <w:pStyle w:val="TOC3"/>
            <w:tabs>
              <w:tab w:val="left" w:pos="1440"/>
              <w:tab w:val="right" w:leader="dot" w:pos="9968"/>
            </w:tabs>
            <w:rPr>
              <w:noProof/>
            </w:rPr>
          </w:pPr>
          <w:hyperlink w:anchor="_Toc218961929" w:history="1">
            <w:r w:rsidRPr="00E0486E">
              <w:rPr>
                <w:rStyle w:val="Hyperlink"/>
                <w:noProof/>
              </w:rPr>
              <w:t>4.3.5</w:t>
            </w:r>
            <w:r>
              <w:rPr>
                <w:noProof/>
              </w:rPr>
              <w:tab/>
            </w:r>
            <w:r w:rsidRPr="00E0486E">
              <w:rPr>
                <w:rStyle w:val="Hyperlink"/>
                <w:noProof/>
              </w:rPr>
              <w:t>Site Inspection Confirmation</w:t>
            </w:r>
            <w:r>
              <w:rPr>
                <w:noProof/>
                <w:webHidden/>
              </w:rPr>
              <w:tab/>
            </w:r>
            <w:r>
              <w:rPr>
                <w:noProof/>
                <w:webHidden/>
              </w:rPr>
              <w:fldChar w:fldCharType="begin"/>
            </w:r>
            <w:r>
              <w:rPr>
                <w:noProof/>
                <w:webHidden/>
              </w:rPr>
              <w:instrText xml:space="preserve"> PAGEREF _Toc218961929 \h </w:instrText>
            </w:r>
            <w:r>
              <w:rPr>
                <w:noProof/>
                <w:webHidden/>
              </w:rPr>
            </w:r>
            <w:r>
              <w:rPr>
                <w:noProof/>
                <w:webHidden/>
              </w:rPr>
              <w:fldChar w:fldCharType="separate"/>
            </w:r>
            <w:r>
              <w:rPr>
                <w:noProof/>
                <w:webHidden/>
              </w:rPr>
              <w:t>4</w:t>
            </w:r>
            <w:r>
              <w:rPr>
                <w:noProof/>
                <w:webHidden/>
              </w:rPr>
              <w:fldChar w:fldCharType="end"/>
            </w:r>
          </w:hyperlink>
        </w:p>
        <w:p w14:paraId="31B84EC0" w14:textId="7515736D" w:rsidR="00743135" w:rsidRDefault="00743135">
          <w:pPr>
            <w:pStyle w:val="TOC2"/>
            <w:tabs>
              <w:tab w:val="left" w:pos="720"/>
              <w:tab w:val="right" w:leader="dot" w:pos="9968"/>
            </w:tabs>
            <w:rPr>
              <w:rFonts w:asciiTheme="minorHAnsi" w:eastAsiaTheme="minorEastAsia" w:hAnsiTheme="minorHAnsi" w:cstheme="minorBidi"/>
              <w:noProof/>
              <w:sz w:val="24"/>
              <w:szCs w:val="24"/>
              <w:lang w:eastAsia="en-AU"/>
            </w:rPr>
          </w:pPr>
          <w:hyperlink w:anchor="_Toc218961930" w:history="1">
            <w:r w:rsidRPr="00E0486E">
              <w:rPr>
                <w:rStyle w:val="Hyperlink"/>
                <w:noProof/>
              </w:rPr>
              <w:t>4.4</w:t>
            </w:r>
            <w:r>
              <w:rPr>
                <w:rFonts w:asciiTheme="minorHAnsi" w:eastAsiaTheme="minorEastAsia" w:hAnsiTheme="minorHAnsi" w:cstheme="minorBidi"/>
                <w:noProof/>
                <w:sz w:val="24"/>
                <w:szCs w:val="24"/>
                <w:lang w:eastAsia="en-AU"/>
              </w:rPr>
              <w:tab/>
            </w:r>
            <w:r w:rsidRPr="00E0486E">
              <w:rPr>
                <w:rStyle w:val="Hyperlink"/>
                <w:noProof/>
              </w:rPr>
              <w:t>Financial Capacity</w:t>
            </w:r>
            <w:r>
              <w:rPr>
                <w:noProof/>
                <w:webHidden/>
              </w:rPr>
              <w:tab/>
            </w:r>
            <w:r>
              <w:rPr>
                <w:noProof/>
                <w:webHidden/>
              </w:rPr>
              <w:fldChar w:fldCharType="begin"/>
            </w:r>
            <w:r>
              <w:rPr>
                <w:noProof/>
                <w:webHidden/>
              </w:rPr>
              <w:instrText xml:space="preserve"> PAGEREF _Toc218961930 \h </w:instrText>
            </w:r>
            <w:r>
              <w:rPr>
                <w:noProof/>
                <w:webHidden/>
              </w:rPr>
            </w:r>
            <w:r>
              <w:rPr>
                <w:noProof/>
                <w:webHidden/>
              </w:rPr>
              <w:fldChar w:fldCharType="separate"/>
            </w:r>
            <w:r>
              <w:rPr>
                <w:noProof/>
                <w:webHidden/>
              </w:rPr>
              <w:t>5</w:t>
            </w:r>
            <w:r>
              <w:rPr>
                <w:noProof/>
                <w:webHidden/>
              </w:rPr>
              <w:fldChar w:fldCharType="end"/>
            </w:r>
          </w:hyperlink>
        </w:p>
        <w:p w14:paraId="06B1F1D9" w14:textId="5E4FABBE" w:rsidR="00743135" w:rsidRDefault="00743135">
          <w:pPr>
            <w:pStyle w:val="TOC1"/>
            <w:tabs>
              <w:tab w:val="left" w:pos="400"/>
              <w:tab w:val="right" w:leader="dot" w:pos="9968"/>
            </w:tabs>
            <w:rPr>
              <w:rFonts w:asciiTheme="minorHAnsi" w:eastAsiaTheme="minorEastAsia" w:hAnsiTheme="minorHAnsi" w:cstheme="minorBidi"/>
              <w:noProof/>
              <w:sz w:val="24"/>
              <w:szCs w:val="24"/>
              <w:lang w:eastAsia="en-AU"/>
            </w:rPr>
          </w:pPr>
          <w:hyperlink w:anchor="_Toc218961931" w:history="1">
            <w:r w:rsidRPr="00E0486E">
              <w:rPr>
                <w:rStyle w:val="Hyperlink"/>
                <w:noProof/>
              </w:rPr>
              <w:t>5</w:t>
            </w:r>
            <w:r>
              <w:rPr>
                <w:rFonts w:asciiTheme="minorHAnsi" w:eastAsiaTheme="minorEastAsia" w:hAnsiTheme="minorHAnsi" w:cstheme="minorBidi"/>
                <w:noProof/>
                <w:sz w:val="24"/>
                <w:szCs w:val="24"/>
                <w:lang w:eastAsia="en-AU"/>
              </w:rPr>
              <w:tab/>
            </w:r>
            <w:r w:rsidRPr="00E0486E">
              <w:rPr>
                <w:rStyle w:val="Hyperlink"/>
                <w:noProof/>
              </w:rPr>
              <w:t>Volume 2: Technical Response</w:t>
            </w:r>
            <w:r>
              <w:rPr>
                <w:noProof/>
                <w:webHidden/>
              </w:rPr>
              <w:tab/>
            </w:r>
            <w:r>
              <w:rPr>
                <w:noProof/>
                <w:webHidden/>
              </w:rPr>
              <w:fldChar w:fldCharType="begin"/>
            </w:r>
            <w:r>
              <w:rPr>
                <w:noProof/>
                <w:webHidden/>
              </w:rPr>
              <w:instrText xml:space="preserve"> PAGEREF _Toc218961931 \h </w:instrText>
            </w:r>
            <w:r>
              <w:rPr>
                <w:noProof/>
                <w:webHidden/>
              </w:rPr>
            </w:r>
            <w:r>
              <w:rPr>
                <w:noProof/>
                <w:webHidden/>
              </w:rPr>
              <w:fldChar w:fldCharType="separate"/>
            </w:r>
            <w:r>
              <w:rPr>
                <w:noProof/>
                <w:webHidden/>
              </w:rPr>
              <w:t>5</w:t>
            </w:r>
            <w:r>
              <w:rPr>
                <w:noProof/>
                <w:webHidden/>
              </w:rPr>
              <w:fldChar w:fldCharType="end"/>
            </w:r>
          </w:hyperlink>
        </w:p>
        <w:p w14:paraId="7397B9FE" w14:textId="0DBEA1BF" w:rsidR="00743135" w:rsidRDefault="00743135">
          <w:pPr>
            <w:pStyle w:val="TOC2"/>
            <w:tabs>
              <w:tab w:val="left" w:pos="720"/>
              <w:tab w:val="right" w:leader="dot" w:pos="9968"/>
            </w:tabs>
            <w:rPr>
              <w:rFonts w:asciiTheme="minorHAnsi" w:eastAsiaTheme="minorEastAsia" w:hAnsiTheme="minorHAnsi" w:cstheme="minorBidi"/>
              <w:noProof/>
              <w:sz w:val="24"/>
              <w:szCs w:val="24"/>
              <w:lang w:eastAsia="en-AU"/>
            </w:rPr>
          </w:pPr>
          <w:hyperlink w:anchor="_Toc218961932" w:history="1">
            <w:r w:rsidRPr="00E0486E">
              <w:rPr>
                <w:rStyle w:val="Hyperlink"/>
                <w:noProof/>
              </w:rPr>
              <w:t>5.1</w:t>
            </w:r>
            <w:r>
              <w:rPr>
                <w:rFonts w:asciiTheme="minorHAnsi" w:eastAsiaTheme="minorEastAsia" w:hAnsiTheme="minorHAnsi" w:cstheme="minorBidi"/>
                <w:noProof/>
                <w:sz w:val="24"/>
                <w:szCs w:val="24"/>
                <w:lang w:eastAsia="en-AU"/>
              </w:rPr>
              <w:tab/>
            </w:r>
            <w:r w:rsidRPr="00E0486E">
              <w:rPr>
                <w:rStyle w:val="Hyperlink"/>
                <w:noProof/>
              </w:rPr>
              <w:t>Schedule 2.1: Relevant Experience</w:t>
            </w:r>
            <w:r>
              <w:rPr>
                <w:noProof/>
                <w:webHidden/>
              </w:rPr>
              <w:tab/>
            </w:r>
            <w:r>
              <w:rPr>
                <w:noProof/>
                <w:webHidden/>
              </w:rPr>
              <w:fldChar w:fldCharType="begin"/>
            </w:r>
            <w:r>
              <w:rPr>
                <w:noProof/>
                <w:webHidden/>
              </w:rPr>
              <w:instrText xml:space="preserve"> PAGEREF _Toc218961932 \h </w:instrText>
            </w:r>
            <w:r>
              <w:rPr>
                <w:noProof/>
                <w:webHidden/>
              </w:rPr>
            </w:r>
            <w:r>
              <w:rPr>
                <w:noProof/>
                <w:webHidden/>
              </w:rPr>
              <w:fldChar w:fldCharType="separate"/>
            </w:r>
            <w:r>
              <w:rPr>
                <w:noProof/>
                <w:webHidden/>
              </w:rPr>
              <w:t>5</w:t>
            </w:r>
            <w:r>
              <w:rPr>
                <w:noProof/>
                <w:webHidden/>
              </w:rPr>
              <w:fldChar w:fldCharType="end"/>
            </w:r>
          </w:hyperlink>
        </w:p>
        <w:p w14:paraId="1EC72CE7" w14:textId="41AF856A" w:rsidR="00743135" w:rsidRDefault="00743135">
          <w:pPr>
            <w:pStyle w:val="TOC3"/>
            <w:tabs>
              <w:tab w:val="left" w:pos="1440"/>
              <w:tab w:val="right" w:leader="dot" w:pos="9968"/>
            </w:tabs>
            <w:rPr>
              <w:noProof/>
            </w:rPr>
          </w:pPr>
          <w:hyperlink w:anchor="_Toc218961933" w:history="1">
            <w:r w:rsidRPr="00E0486E">
              <w:rPr>
                <w:rStyle w:val="Hyperlink"/>
                <w:noProof/>
              </w:rPr>
              <w:t>5.1.1</w:t>
            </w:r>
            <w:r>
              <w:rPr>
                <w:noProof/>
              </w:rPr>
              <w:tab/>
            </w:r>
            <w:r w:rsidRPr="00E0486E">
              <w:rPr>
                <w:rStyle w:val="Hyperlink"/>
                <w:noProof/>
              </w:rPr>
              <w:t>Project 1: Riverside Library &amp; Digital Hub Fitout</w:t>
            </w:r>
            <w:r>
              <w:rPr>
                <w:noProof/>
                <w:webHidden/>
              </w:rPr>
              <w:tab/>
            </w:r>
            <w:r>
              <w:rPr>
                <w:noProof/>
                <w:webHidden/>
              </w:rPr>
              <w:fldChar w:fldCharType="begin"/>
            </w:r>
            <w:r>
              <w:rPr>
                <w:noProof/>
                <w:webHidden/>
              </w:rPr>
              <w:instrText xml:space="preserve"> PAGEREF _Toc218961933 \h </w:instrText>
            </w:r>
            <w:r>
              <w:rPr>
                <w:noProof/>
                <w:webHidden/>
              </w:rPr>
            </w:r>
            <w:r>
              <w:rPr>
                <w:noProof/>
                <w:webHidden/>
              </w:rPr>
              <w:fldChar w:fldCharType="separate"/>
            </w:r>
            <w:r>
              <w:rPr>
                <w:noProof/>
                <w:webHidden/>
              </w:rPr>
              <w:t>5</w:t>
            </w:r>
            <w:r>
              <w:rPr>
                <w:noProof/>
                <w:webHidden/>
              </w:rPr>
              <w:fldChar w:fldCharType="end"/>
            </w:r>
          </w:hyperlink>
        </w:p>
        <w:p w14:paraId="5A12557C" w14:textId="1B9DFF11" w:rsidR="00743135" w:rsidRDefault="00743135">
          <w:pPr>
            <w:pStyle w:val="TOC3"/>
            <w:tabs>
              <w:tab w:val="left" w:pos="1440"/>
              <w:tab w:val="right" w:leader="dot" w:pos="9968"/>
            </w:tabs>
            <w:rPr>
              <w:noProof/>
            </w:rPr>
          </w:pPr>
          <w:hyperlink w:anchor="_Toc218961934" w:history="1">
            <w:r w:rsidRPr="00E0486E">
              <w:rPr>
                <w:rStyle w:val="Hyperlink"/>
                <w:noProof/>
              </w:rPr>
              <w:t>5.1.2</w:t>
            </w:r>
            <w:r>
              <w:rPr>
                <w:noProof/>
              </w:rPr>
              <w:tab/>
            </w:r>
            <w:r w:rsidRPr="00E0486E">
              <w:rPr>
                <w:rStyle w:val="Hyperlink"/>
                <w:noProof/>
              </w:rPr>
              <w:t>Project 2: Highland Medical Centre Redevelopment</w:t>
            </w:r>
            <w:r>
              <w:rPr>
                <w:noProof/>
                <w:webHidden/>
              </w:rPr>
              <w:tab/>
            </w:r>
            <w:r>
              <w:rPr>
                <w:noProof/>
                <w:webHidden/>
              </w:rPr>
              <w:fldChar w:fldCharType="begin"/>
            </w:r>
            <w:r>
              <w:rPr>
                <w:noProof/>
                <w:webHidden/>
              </w:rPr>
              <w:instrText xml:space="preserve"> PAGEREF _Toc218961934 \h </w:instrText>
            </w:r>
            <w:r>
              <w:rPr>
                <w:noProof/>
                <w:webHidden/>
              </w:rPr>
            </w:r>
            <w:r>
              <w:rPr>
                <w:noProof/>
                <w:webHidden/>
              </w:rPr>
              <w:fldChar w:fldCharType="separate"/>
            </w:r>
            <w:r>
              <w:rPr>
                <w:noProof/>
                <w:webHidden/>
              </w:rPr>
              <w:t>6</w:t>
            </w:r>
            <w:r>
              <w:rPr>
                <w:noProof/>
                <w:webHidden/>
              </w:rPr>
              <w:fldChar w:fldCharType="end"/>
            </w:r>
          </w:hyperlink>
        </w:p>
        <w:p w14:paraId="0C665F66" w14:textId="4A84B961" w:rsidR="00743135" w:rsidRDefault="00743135">
          <w:pPr>
            <w:pStyle w:val="TOC3"/>
            <w:tabs>
              <w:tab w:val="left" w:pos="1440"/>
              <w:tab w:val="right" w:leader="dot" w:pos="9968"/>
            </w:tabs>
            <w:rPr>
              <w:noProof/>
            </w:rPr>
          </w:pPr>
          <w:hyperlink w:anchor="_Toc218961935" w:history="1">
            <w:r w:rsidRPr="00E0486E">
              <w:rPr>
                <w:rStyle w:val="Hyperlink"/>
                <w:noProof/>
              </w:rPr>
              <w:t>5.1.3</w:t>
            </w:r>
            <w:r>
              <w:rPr>
                <w:noProof/>
              </w:rPr>
              <w:tab/>
            </w:r>
            <w:r w:rsidRPr="00E0486E">
              <w:rPr>
                <w:rStyle w:val="Hyperlink"/>
                <w:noProof/>
              </w:rPr>
              <w:t>Project 3: West End Primary School - STEM &amp; Arts Precinct</w:t>
            </w:r>
            <w:r>
              <w:rPr>
                <w:noProof/>
                <w:webHidden/>
              </w:rPr>
              <w:tab/>
            </w:r>
            <w:r>
              <w:rPr>
                <w:noProof/>
                <w:webHidden/>
              </w:rPr>
              <w:fldChar w:fldCharType="begin"/>
            </w:r>
            <w:r>
              <w:rPr>
                <w:noProof/>
                <w:webHidden/>
              </w:rPr>
              <w:instrText xml:space="preserve"> PAGEREF _Toc218961935 \h </w:instrText>
            </w:r>
            <w:r>
              <w:rPr>
                <w:noProof/>
                <w:webHidden/>
              </w:rPr>
            </w:r>
            <w:r>
              <w:rPr>
                <w:noProof/>
                <w:webHidden/>
              </w:rPr>
              <w:fldChar w:fldCharType="separate"/>
            </w:r>
            <w:r>
              <w:rPr>
                <w:noProof/>
                <w:webHidden/>
              </w:rPr>
              <w:t>6</w:t>
            </w:r>
            <w:r>
              <w:rPr>
                <w:noProof/>
                <w:webHidden/>
              </w:rPr>
              <w:fldChar w:fldCharType="end"/>
            </w:r>
          </w:hyperlink>
        </w:p>
        <w:p w14:paraId="4E668E5E" w14:textId="0BF79800" w:rsidR="00743135" w:rsidRDefault="00743135">
          <w:pPr>
            <w:pStyle w:val="TOC2"/>
            <w:tabs>
              <w:tab w:val="left" w:pos="720"/>
              <w:tab w:val="right" w:leader="dot" w:pos="9968"/>
            </w:tabs>
            <w:rPr>
              <w:rFonts w:asciiTheme="minorHAnsi" w:eastAsiaTheme="minorEastAsia" w:hAnsiTheme="minorHAnsi" w:cstheme="minorBidi"/>
              <w:noProof/>
              <w:sz w:val="24"/>
              <w:szCs w:val="24"/>
              <w:lang w:eastAsia="en-AU"/>
            </w:rPr>
          </w:pPr>
          <w:hyperlink w:anchor="_Toc218961936" w:history="1">
            <w:r w:rsidRPr="00E0486E">
              <w:rPr>
                <w:rStyle w:val="Hyperlink"/>
                <w:noProof/>
              </w:rPr>
              <w:t>5.2</w:t>
            </w:r>
            <w:r>
              <w:rPr>
                <w:rFonts w:asciiTheme="minorHAnsi" w:eastAsiaTheme="minorEastAsia" w:hAnsiTheme="minorHAnsi" w:cstheme="minorBidi"/>
                <w:noProof/>
                <w:sz w:val="24"/>
                <w:szCs w:val="24"/>
                <w:lang w:eastAsia="en-AU"/>
              </w:rPr>
              <w:tab/>
            </w:r>
            <w:r w:rsidRPr="00E0486E">
              <w:rPr>
                <w:rStyle w:val="Hyperlink"/>
                <w:noProof/>
              </w:rPr>
              <w:t>Schedule 2.2: Methodology and Program</w:t>
            </w:r>
            <w:r>
              <w:rPr>
                <w:noProof/>
                <w:webHidden/>
              </w:rPr>
              <w:tab/>
            </w:r>
            <w:r>
              <w:rPr>
                <w:noProof/>
                <w:webHidden/>
              </w:rPr>
              <w:fldChar w:fldCharType="begin"/>
            </w:r>
            <w:r>
              <w:rPr>
                <w:noProof/>
                <w:webHidden/>
              </w:rPr>
              <w:instrText xml:space="preserve"> PAGEREF _Toc218961936 \h </w:instrText>
            </w:r>
            <w:r>
              <w:rPr>
                <w:noProof/>
                <w:webHidden/>
              </w:rPr>
            </w:r>
            <w:r>
              <w:rPr>
                <w:noProof/>
                <w:webHidden/>
              </w:rPr>
              <w:fldChar w:fldCharType="separate"/>
            </w:r>
            <w:r>
              <w:rPr>
                <w:noProof/>
                <w:webHidden/>
              </w:rPr>
              <w:t>7</w:t>
            </w:r>
            <w:r>
              <w:rPr>
                <w:noProof/>
                <w:webHidden/>
              </w:rPr>
              <w:fldChar w:fldCharType="end"/>
            </w:r>
          </w:hyperlink>
        </w:p>
        <w:p w14:paraId="4F707C79" w14:textId="6970DE8D" w:rsidR="00743135" w:rsidRDefault="00743135">
          <w:pPr>
            <w:pStyle w:val="TOC3"/>
            <w:tabs>
              <w:tab w:val="left" w:pos="1440"/>
              <w:tab w:val="right" w:leader="dot" w:pos="9968"/>
            </w:tabs>
            <w:rPr>
              <w:noProof/>
            </w:rPr>
          </w:pPr>
          <w:hyperlink w:anchor="_Toc218961937" w:history="1">
            <w:r w:rsidRPr="00E0486E">
              <w:rPr>
                <w:rStyle w:val="Hyperlink"/>
                <w:noProof/>
              </w:rPr>
              <w:t>5.2.1</w:t>
            </w:r>
            <w:r>
              <w:rPr>
                <w:noProof/>
              </w:rPr>
              <w:tab/>
            </w:r>
            <w:r w:rsidRPr="00E0486E">
              <w:rPr>
                <w:rStyle w:val="Hyperlink"/>
                <w:noProof/>
              </w:rPr>
              <w:t>Preliminary Construction Program</w:t>
            </w:r>
            <w:r>
              <w:rPr>
                <w:noProof/>
                <w:webHidden/>
              </w:rPr>
              <w:tab/>
            </w:r>
            <w:r>
              <w:rPr>
                <w:noProof/>
                <w:webHidden/>
              </w:rPr>
              <w:fldChar w:fldCharType="begin"/>
            </w:r>
            <w:r>
              <w:rPr>
                <w:noProof/>
                <w:webHidden/>
              </w:rPr>
              <w:instrText xml:space="preserve"> PAGEREF _Toc218961937 \h </w:instrText>
            </w:r>
            <w:r>
              <w:rPr>
                <w:noProof/>
                <w:webHidden/>
              </w:rPr>
            </w:r>
            <w:r>
              <w:rPr>
                <w:noProof/>
                <w:webHidden/>
              </w:rPr>
              <w:fldChar w:fldCharType="separate"/>
            </w:r>
            <w:r>
              <w:rPr>
                <w:noProof/>
                <w:webHidden/>
              </w:rPr>
              <w:t>7</w:t>
            </w:r>
            <w:r>
              <w:rPr>
                <w:noProof/>
                <w:webHidden/>
              </w:rPr>
              <w:fldChar w:fldCharType="end"/>
            </w:r>
          </w:hyperlink>
        </w:p>
        <w:p w14:paraId="2963FD02" w14:textId="44ABAC44" w:rsidR="00743135" w:rsidRDefault="00743135">
          <w:pPr>
            <w:pStyle w:val="TOC3"/>
            <w:tabs>
              <w:tab w:val="left" w:pos="1440"/>
              <w:tab w:val="right" w:leader="dot" w:pos="9968"/>
            </w:tabs>
            <w:rPr>
              <w:noProof/>
            </w:rPr>
          </w:pPr>
          <w:hyperlink w:anchor="_Toc218961938" w:history="1">
            <w:r w:rsidRPr="00E0486E">
              <w:rPr>
                <w:rStyle w:val="Hyperlink"/>
                <w:noProof/>
              </w:rPr>
              <w:t>5.2.2</w:t>
            </w:r>
            <w:r>
              <w:rPr>
                <w:noProof/>
              </w:rPr>
              <w:tab/>
            </w:r>
            <w:r w:rsidRPr="00E0486E">
              <w:rPr>
                <w:rStyle w:val="Hyperlink"/>
                <w:noProof/>
              </w:rPr>
              <w:t>Operational Continuity Strategy</w:t>
            </w:r>
            <w:r>
              <w:rPr>
                <w:noProof/>
                <w:webHidden/>
              </w:rPr>
              <w:tab/>
            </w:r>
            <w:r>
              <w:rPr>
                <w:noProof/>
                <w:webHidden/>
              </w:rPr>
              <w:fldChar w:fldCharType="begin"/>
            </w:r>
            <w:r>
              <w:rPr>
                <w:noProof/>
                <w:webHidden/>
              </w:rPr>
              <w:instrText xml:space="preserve"> PAGEREF _Toc218961938 \h </w:instrText>
            </w:r>
            <w:r>
              <w:rPr>
                <w:noProof/>
                <w:webHidden/>
              </w:rPr>
            </w:r>
            <w:r>
              <w:rPr>
                <w:noProof/>
                <w:webHidden/>
              </w:rPr>
              <w:fldChar w:fldCharType="separate"/>
            </w:r>
            <w:r>
              <w:rPr>
                <w:noProof/>
                <w:webHidden/>
              </w:rPr>
              <w:t>7</w:t>
            </w:r>
            <w:r>
              <w:rPr>
                <w:noProof/>
                <w:webHidden/>
              </w:rPr>
              <w:fldChar w:fldCharType="end"/>
            </w:r>
          </w:hyperlink>
        </w:p>
        <w:p w14:paraId="7BEE0167" w14:textId="58584FF9" w:rsidR="00743135" w:rsidRDefault="00743135">
          <w:pPr>
            <w:pStyle w:val="TOC3"/>
            <w:tabs>
              <w:tab w:val="left" w:pos="1440"/>
              <w:tab w:val="right" w:leader="dot" w:pos="9968"/>
            </w:tabs>
            <w:rPr>
              <w:noProof/>
            </w:rPr>
          </w:pPr>
          <w:hyperlink w:anchor="_Toc218961939" w:history="1">
            <w:r w:rsidRPr="00E0486E">
              <w:rPr>
                <w:rStyle w:val="Hyperlink"/>
                <w:noProof/>
              </w:rPr>
              <w:t>5.2.3</w:t>
            </w:r>
            <w:r>
              <w:rPr>
                <w:noProof/>
              </w:rPr>
              <w:tab/>
            </w:r>
            <w:r w:rsidRPr="00E0486E">
              <w:rPr>
                <w:rStyle w:val="Hyperlink"/>
                <w:noProof/>
              </w:rPr>
              <w:t>Site Establishment and Logistics</w:t>
            </w:r>
            <w:r>
              <w:rPr>
                <w:noProof/>
                <w:webHidden/>
              </w:rPr>
              <w:tab/>
            </w:r>
            <w:r>
              <w:rPr>
                <w:noProof/>
                <w:webHidden/>
              </w:rPr>
              <w:fldChar w:fldCharType="begin"/>
            </w:r>
            <w:r>
              <w:rPr>
                <w:noProof/>
                <w:webHidden/>
              </w:rPr>
              <w:instrText xml:space="preserve"> PAGEREF _Toc218961939 \h </w:instrText>
            </w:r>
            <w:r>
              <w:rPr>
                <w:noProof/>
                <w:webHidden/>
              </w:rPr>
            </w:r>
            <w:r>
              <w:rPr>
                <w:noProof/>
                <w:webHidden/>
              </w:rPr>
              <w:fldChar w:fldCharType="separate"/>
            </w:r>
            <w:r>
              <w:rPr>
                <w:noProof/>
                <w:webHidden/>
              </w:rPr>
              <w:t>9</w:t>
            </w:r>
            <w:r>
              <w:rPr>
                <w:noProof/>
                <w:webHidden/>
              </w:rPr>
              <w:fldChar w:fldCharType="end"/>
            </w:r>
          </w:hyperlink>
        </w:p>
        <w:p w14:paraId="74B8B7CA" w14:textId="6FB218B8" w:rsidR="00743135" w:rsidRDefault="00743135">
          <w:pPr>
            <w:pStyle w:val="TOC2"/>
            <w:tabs>
              <w:tab w:val="left" w:pos="720"/>
              <w:tab w:val="right" w:leader="dot" w:pos="9968"/>
            </w:tabs>
            <w:rPr>
              <w:rFonts w:asciiTheme="minorHAnsi" w:eastAsiaTheme="minorEastAsia" w:hAnsiTheme="minorHAnsi" w:cstheme="minorBidi"/>
              <w:noProof/>
              <w:sz w:val="24"/>
              <w:szCs w:val="24"/>
              <w:lang w:eastAsia="en-AU"/>
            </w:rPr>
          </w:pPr>
          <w:hyperlink w:anchor="_Toc218961940" w:history="1">
            <w:r w:rsidRPr="00E0486E">
              <w:rPr>
                <w:rStyle w:val="Hyperlink"/>
                <w:noProof/>
              </w:rPr>
              <w:t>5.3</w:t>
            </w:r>
            <w:r>
              <w:rPr>
                <w:rFonts w:asciiTheme="minorHAnsi" w:eastAsiaTheme="minorEastAsia" w:hAnsiTheme="minorHAnsi" w:cstheme="minorBidi"/>
                <w:noProof/>
                <w:sz w:val="24"/>
                <w:szCs w:val="24"/>
                <w:lang w:eastAsia="en-AU"/>
              </w:rPr>
              <w:tab/>
            </w:r>
            <w:r w:rsidRPr="00E0486E">
              <w:rPr>
                <w:rStyle w:val="Hyperlink"/>
                <w:noProof/>
              </w:rPr>
              <w:t>Schedule 2.3: Key Personnel</w:t>
            </w:r>
            <w:r>
              <w:rPr>
                <w:noProof/>
                <w:webHidden/>
              </w:rPr>
              <w:tab/>
            </w:r>
            <w:r>
              <w:rPr>
                <w:noProof/>
                <w:webHidden/>
              </w:rPr>
              <w:fldChar w:fldCharType="begin"/>
            </w:r>
            <w:r>
              <w:rPr>
                <w:noProof/>
                <w:webHidden/>
              </w:rPr>
              <w:instrText xml:space="preserve"> PAGEREF _Toc218961940 \h </w:instrText>
            </w:r>
            <w:r>
              <w:rPr>
                <w:noProof/>
                <w:webHidden/>
              </w:rPr>
            </w:r>
            <w:r>
              <w:rPr>
                <w:noProof/>
                <w:webHidden/>
              </w:rPr>
              <w:fldChar w:fldCharType="separate"/>
            </w:r>
            <w:r>
              <w:rPr>
                <w:noProof/>
                <w:webHidden/>
              </w:rPr>
              <w:t>10</w:t>
            </w:r>
            <w:r>
              <w:rPr>
                <w:noProof/>
                <w:webHidden/>
              </w:rPr>
              <w:fldChar w:fldCharType="end"/>
            </w:r>
          </w:hyperlink>
        </w:p>
        <w:p w14:paraId="6D6FA575" w14:textId="118A66CE" w:rsidR="00743135" w:rsidRDefault="00743135">
          <w:pPr>
            <w:pStyle w:val="TOC3"/>
            <w:tabs>
              <w:tab w:val="left" w:pos="1440"/>
              <w:tab w:val="right" w:leader="dot" w:pos="9968"/>
            </w:tabs>
            <w:rPr>
              <w:noProof/>
            </w:rPr>
          </w:pPr>
          <w:hyperlink w:anchor="_Toc218961941" w:history="1">
            <w:r w:rsidRPr="00E0486E">
              <w:rPr>
                <w:rStyle w:val="Hyperlink"/>
                <w:noProof/>
              </w:rPr>
              <w:t>5.3.1</w:t>
            </w:r>
            <w:r>
              <w:rPr>
                <w:noProof/>
              </w:rPr>
              <w:tab/>
            </w:r>
            <w:r w:rsidRPr="00E0486E">
              <w:rPr>
                <w:rStyle w:val="Hyperlink"/>
                <w:noProof/>
              </w:rPr>
              <w:t>Project Manager</w:t>
            </w:r>
            <w:r>
              <w:rPr>
                <w:noProof/>
                <w:webHidden/>
              </w:rPr>
              <w:tab/>
            </w:r>
            <w:r>
              <w:rPr>
                <w:noProof/>
                <w:webHidden/>
              </w:rPr>
              <w:fldChar w:fldCharType="begin"/>
            </w:r>
            <w:r>
              <w:rPr>
                <w:noProof/>
                <w:webHidden/>
              </w:rPr>
              <w:instrText xml:space="preserve"> PAGEREF _Toc218961941 \h </w:instrText>
            </w:r>
            <w:r>
              <w:rPr>
                <w:noProof/>
                <w:webHidden/>
              </w:rPr>
            </w:r>
            <w:r>
              <w:rPr>
                <w:noProof/>
                <w:webHidden/>
              </w:rPr>
              <w:fldChar w:fldCharType="separate"/>
            </w:r>
            <w:r>
              <w:rPr>
                <w:noProof/>
                <w:webHidden/>
              </w:rPr>
              <w:t>10</w:t>
            </w:r>
            <w:r>
              <w:rPr>
                <w:noProof/>
                <w:webHidden/>
              </w:rPr>
              <w:fldChar w:fldCharType="end"/>
            </w:r>
          </w:hyperlink>
        </w:p>
        <w:p w14:paraId="6F2B7B0D" w14:textId="0281E158" w:rsidR="00743135" w:rsidRDefault="00743135">
          <w:pPr>
            <w:pStyle w:val="TOC3"/>
            <w:tabs>
              <w:tab w:val="left" w:pos="1440"/>
              <w:tab w:val="right" w:leader="dot" w:pos="9968"/>
            </w:tabs>
            <w:rPr>
              <w:noProof/>
            </w:rPr>
          </w:pPr>
          <w:hyperlink w:anchor="_Toc218961942" w:history="1">
            <w:r w:rsidRPr="00E0486E">
              <w:rPr>
                <w:rStyle w:val="Hyperlink"/>
                <w:noProof/>
              </w:rPr>
              <w:t>5.3.2</w:t>
            </w:r>
            <w:r>
              <w:rPr>
                <w:noProof/>
              </w:rPr>
              <w:tab/>
            </w:r>
            <w:r w:rsidRPr="00E0486E">
              <w:rPr>
                <w:rStyle w:val="Hyperlink"/>
                <w:noProof/>
              </w:rPr>
              <w:t>Site Foreman</w:t>
            </w:r>
            <w:r>
              <w:rPr>
                <w:noProof/>
                <w:webHidden/>
              </w:rPr>
              <w:tab/>
            </w:r>
            <w:r>
              <w:rPr>
                <w:noProof/>
                <w:webHidden/>
              </w:rPr>
              <w:fldChar w:fldCharType="begin"/>
            </w:r>
            <w:r>
              <w:rPr>
                <w:noProof/>
                <w:webHidden/>
              </w:rPr>
              <w:instrText xml:space="preserve"> PAGEREF _Toc218961942 \h </w:instrText>
            </w:r>
            <w:r>
              <w:rPr>
                <w:noProof/>
                <w:webHidden/>
              </w:rPr>
            </w:r>
            <w:r>
              <w:rPr>
                <w:noProof/>
                <w:webHidden/>
              </w:rPr>
              <w:fldChar w:fldCharType="separate"/>
            </w:r>
            <w:r>
              <w:rPr>
                <w:noProof/>
                <w:webHidden/>
              </w:rPr>
              <w:t>10</w:t>
            </w:r>
            <w:r>
              <w:rPr>
                <w:noProof/>
                <w:webHidden/>
              </w:rPr>
              <w:fldChar w:fldCharType="end"/>
            </w:r>
          </w:hyperlink>
        </w:p>
        <w:p w14:paraId="721CA42C" w14:textId="06EED457" w:rsidR="00743135" w:rsidRDefault="00743135">
          <w:pPr>
            <w:pStyle w:val="TOC3"/>
            <w:tabs>
              <w:tab w:val="left" w:pos="1440"/>
              <w:tab w:val="right" w:leader="dot" w:pos="9968"/>
            </w:tabs>
            <w:rPr>
              <w:noProof/>
            </w:rPr>
          </w:pPr>
          <w:hyperlink w:anchor="_Toc218961943" w:history="1">
            <w:r w:rsidRPr="00E0486E">
              <w:rPr>
                <w:rStyle w:val="Hyperlink"/>
                <w:noProof/>
              </w:rPr>
              <w:t>5.3.3</w:t>
            </w:r>
            <w:r>
              <w:rPr>
                <w:noProof/>
              </w:rPr>
              <w:tab/>
            </w:r>
            <w:r w:rsidRPr="00E0486E">
              <w:rPr>
                <w:rStyle w:val="Hyperlink"/>
                <w:noProof/>
              </w:rPr>
              <w:t>Contracts Administrator</w:t>
            </w:r>
            <w:r>
              <w:rPr>
                <w:noProof/>
                <w:webHidden/>
              </w:rPr>
              <w:tab/>
            </w:r>
            <w:r>
              <w:rPr>
                <w:noProof/>
                <w:webHidden/>
              </w:rPr>
              <w:fldChar w:fldCharType="begin"/>
            </w:r>
            <w:r>
              <w:rPr>
                <w:noProof/>
                <w:webHidden/>
              </w:rPr>
              <w:instrText xml:space="preserve"> PAGEREF _Toc218961943 \h </w:instrText>
            </w:r>
            <w:r>
              <w:rPr>
                <w:noProof/>
                <w:webHidden/>
              </w:rPr>
            </w:r>
            <w:r>
              <w:rPr>
                <w:noProof/>
                <w:webHidden/>
              </w:rPr>
              <w:fldChar w:fldCharType="separate"/>
            </w:r>
            <w:r>
              <w:rPr>
                <w:noProof/>
                <w:webHidden/>
              </w:rPr>
              <w:t>10</w:t>
            </w:r>
            <w:r>
              <w:rPr>
                <w:noProof/>
                <w:webHidden/>
              </w:rPr>
              <w:fldChar w:fldCharType="end"/>
            </w:r>
          </w:hyperlink>
        </w:p>
        <w:p w14:paraId="4FD30EF7" w14:textId="35915387" w:rsidR="00743135" w:rsidRDefault="00743135">
          <w:pPr>
            <w:pStyle w:val="TOC3"/>
            <w:tabs>
              <w:tab w:val="left" w:pos="1440"/>
              <w:tab w:val="right" w:leader="dot" w:pos="9968"/>
            </w:tabs>
            <w:rPr>
              <w:noProof/>
            </w:rPr>
          </w:pPr>
          <w:hyperlink w:anchor="_Toc218961944" w:history="1">
            <w:r w:rsidRPr="00E0486E">
              <w:rPr>
                <w:rStyle w:val="Hyperlink"/>
                <w:noProof/>
              </w:rPr>
              <w:t>5.3.4</w:t>
            </w:r>
            <w:r>
              <w:rPr>
                <w:noProof/>
              </w:rPr>
              <w:tab/>
            </w:r>
            <w:r w:rsidRPr="00E0486E">
              <w:rPr>
                <w:rStyle w:val="Hyperlink"/>
                <w:noProof/>
              </w:rPr>
              <w:t>WHS Officer</w:t>
            </w:r>
            <w:r>
              <w:rPr>
                <w:noProof/>
                <w:webHidden/>
              </w:rPr>
              <w:tab/>
            </w:r>
            <w:r>
              <w:rPr>
                <w:noProof/>
                <w:webHidden/>
              </w:rPr>
              <w:fldChar w:fldCharType="begin"/>
            </w:r>
            <w:r>
              <w:rPr>
                <w:noProof/>
                <w:webHidden/>
              </w:rPr>
              <w:instrText xml:space="preserve"> PAGEREF _Toc218961944 \h </w:instrText>
            </w:r>
            <w:r>
              <w:rPr>
                <w:noProof/>
                <w:webHidden/>
              </w:rPr>
            </w:r>
            <w:r>
              <w:rPr>
                <w:noProof/>
                <w:webHidden/>
              </w:rPr>
              <w:fldChar w:fldCharType="separate"/>
            </w:r>
            <w:r>
              <w:rPr>
                <w:noProof/>
                <w:webHidden/>
              </w:rPr>
              <w:t>11</w:t>
            </w:r>
            <w:r>
              <w:rPr>
                <w:noProof/>
                <w:webHidden/>
              </w:rPr>
              <w:fldChar w:fldCharType="end"/>
            </w:r>
          </w:hyperlink>
        </w:p>
        <w:p w14:paraId="6EF1F19E" w14:textId="21C64A3B" w:rsidR="00743135" w:rsidRDefault="00743135">
          <w:pPr>
            <w:pStyle w:val="TOC3"/>
            <w:tabs>
              <w:tab w:val="left" w:pos="1440"/>
              <w:tab w:val="right" w:leader="dot" w:pos="9968"/>
            </w:tabs>
            <w:rPr>
              <w:noProof/>
            </w:rPr>
          </w:pPr>
          <w:hyperlink w:anchor="_Toc218961945" w:history="1">
            <w:r w:rsidRPr="00E0486E">
              <w:rPr>
                <w:rStyle w:val="Hyperlink"/>
                <w:noProof/>
              </w:rPr>
              <w:t>5.3.5</w:t>
            </w:r>
            <w:r>
              <w:rPr>
                <w:noProof/>
              </w:rPr>
              <w:tab/>
            </w:r>
            <w:r w:rsidRPr="00E0486E">
              <w:rPr>
                <w:rStyle w:val="Hyperlink"/>
                <w:noProof/>
              </w:rPr>
              <w:t>Team Capacity Statement</w:t>
            </w:r>
            <w:r>
              <w:rPr>
                <w:noProof/>
                <w:webHidden/>
              </w:rPr>
              <w:tab/>
            </w:r>
            <w:r>
              <w:rPr>
                <w:noProof/>
                <w:webHidden/>
              </w:rPr>
              <w:fldChar w:fldCharType="begin"/>
            </w:r>
            <w:r>
              <w:rPr>
                <w:noProof/>
                <w:webHidden/>
              </w:rPr>
              <w:instrText xml:space="preserve"> PAGEREF _Toc218961945 \h </w:instrText>
            </w:r>
            <w:r>
              <w:rPr>
                <w:noProof/>
                <w:webHidden/>
              </w:rPr>
            </w:r>
            <w:r>
              <w:rPr>
                <w:noProof/>
                <w:webHidden/>
              </w:rPr>
              <w:fldChar w:fldCharType="separate"/>
            </w:r>
            <w:r>
              <w:rPr>
                <w:noProof/>
                <w:webHidden/>
              </w:rPr>
              <w:t>11</w:t>
            </w:r>
            <w:r>
              <w:rPr>
                <w:noProof/>
                <w:webHidden/>
              </w:rPr>
              <w:fldChar w:fldCharType="end"/>
            </w:r>
          </w:hyperlink>
        </w:p>
        <w:p w14:paraId="52CF3D13" w14:textId="4449B2E2" w:rsidR="00743135" w:rsidRDefault="00743135">
          <w:pPr>
            <w:pStyle w:val="TOC2"/>
            <w:tabs>
              <w:tab w:val="left" w:pos="720"/>
              <w:tab w:val="right" w:leader="dot" w:pos="9968"/>
            </w:tabs>
            <w:rPr>
              <w:rFonts w:asciiTheme="minorHAnsi" w:eastAsiaTheme="minorEastAsia" w:hAnsiTheme="minorHAnsi" w:cstheme="minorBidi"/>
              <w:noProof/>
              <w:sz w:val="24"/>
              <w:szCs w:val="24"/>
              <w:lang w:eastAsia="en-AU"/>
            </w:rPr>
          </w:pPr>
          <w:hyperlink w:anchor="_Toc218961946" w:history="1">
            <w:r w:rsidRPr="00E0486E">
              <w:rPr>
                <w:rStyle w:val="Hyperlink"/>
                <w:noProof/>
              </w:rPr>
              <w:t>5.4</w:t>
            </w:r>
            <w:r>
              <w:rPr>
                <w:rFonts w:asciiTheme="minorHAnsi" w:eastAsiaTheme="minorEastAsia" w:hAnsiTheme="minorHAnsi" w:cstheme="minorBidi"/>
                <w:noProof/>
                <w:sz w:val="24"/>
                <w:szCs w:val="24"/>
                <w:lang w:eastAsia="en-AU"/>
              </w:rPr>
              <w:tab/>
            </w:r>
            <w:r w:rsidRPr="00E0486E">
              <w:rPr>
                <w:rStyle w:val="Hyperlink"/>
                <w:noProof/>
              </w:rPr>
              <w:t>Schedule 2.4: WHS and Quality Assurance</w:t>
            </w:r>
            <w:r>
              <w:rPr>
                <w:noProof/>
                <w:webHidden/>
              </w:rPr>
              <w:tab/>
            </w:r>
            <w:r>
              <w:rPr>
                <w:noProof/>
                <w:webHidden/>
              </w:rPr>
              <w:fldChar w:fldCharType="begin"/>
            </w:r>
            <w:r>
              <w:rPr>
                <w:noProof/>
                <w:webHidden/>
              </w:rPr>
              <w:instrText xml:space="preserve"> PAGEREF _Toc218961946 \h </w:instrText>
            </w:r>
            <w:r>
              <w:rPr>
                <w:noProof/>
                <w:webHidden/>
              </w:rPr>
            </w:r>
            <w:r>
              <w:rPr>
                <w:noProof/>
                <w:webHidden/>
              </w:rPr>
              <w:fldChar w:fldCharType="separate"/>
            </w:r>
            <w:r>
              <w:rPr>
                <w:noProof/>
                <w:webHidden/>
              </w:rPr>
              <w:t>11</w:t>
            </w:r>
            <w:r>
              <w:rPr>
                <w:noProof/>
                <w:webHidden/>
              </w:rPr>
              <w:fldChar w:fldCharType="end"/>
            </w:r>
          </w:hyperlink>
        </w:p>
        <w:p w14:paraId="7366D359" w14:textId="41578CAB" w:rsidR="00743135" w:rsidRDefault="00743135">
          <w:pPr>
            <w:pStyle w:val="TOC3"/>
            <w:tabs>
              <w:tab w:val="left" w:pos="1440"/>
              <w:tab w:val="right" w:leader="dot" w:pos="9968"/>
            </w:tabs>
            <w:rPr>
              <w:noProof/>
            </w:rPr>
          </w:pPr>
          <w:hyperlink w:anchor="_Toc218961947" w:history="1">
            <w:r w:rsidRPr="00E0486E">
              <w:rPr>
                <w:rStyle w:val="Hyperlink"/>
                <w:noProof/>
              </w:rPr>
              <w:t>5.4.1</w:t>
            </w:r>
            <w:r>
              <w:rPr>
                <w:noProof/>
              </w:rPr>
              <w:tab/>
            </w:r>
            <w:r w:rsidRPr="00E0486E">
              <w:rPr>
                <w:rStyle w:val="Hyperlink"/>
                <w:noProof/>
              </w:rPr>
              <w:t>WHS Management System</w:t>
            </w:r>
            <w:r>
              <w:rPr>
                <w:noProof/>
                <w:webHidden/>
              </w:rPr>
              <w:tab/>
            </w:r>
            <w:r>
              <w:rPr>
                <w:noProof/>
                <w:webHidden/>
              </w:rPr>
              <w:fldChar w:fldCharType="begin"/>
            </w:r>
            <w:r>
              <w:rPr>
                <w:noProof/>
                <w:webHidden/>
              </w:rPr>
              <w:instrText xml:space="preserve"> PAGEREF _Toc218961947 \h </w:instrText>
            </w:r>
            <w:r>
              <w:rPr>
                <w:noProof/>
                <w:webHidden/>
              </w:rPr>
            </w:r>
            <w:r>
              <w:rPr>
                <w:noProof/>
                <w:webHidden/>
              </w:rPr>
              <w:fldChar w:fldCharType="separate"/>
            </w:r>
            <w:r>
              <w:rPr>
                <w:noProof/>
                <w:webHidden/>
              </w:rPr>
              <w:t>11</w:t>
            </w:r>
            <w:r>
              <w:rPr>
                <w:noProof/>
                <w:webHidden/>
              </w:rPr>
              <w:fldChar w:fldCharType="end"/>
            </w:r>
          </w:hyperlink>
        </w:p>
        <w:p w14:paraId="4AC6E82E" w14:textId="10F2DEC9" w:rsidR="00743135" w:rsidRDefault="00743135">
          <w:pPr>
            <w:pStyle w:val="TOC3"/>
            <w:tabs>
              <w:tab w:val="left" w:pos="1440"/>
              <w:tab w:val="right" w:leader="dot" w:pos="9968"/>
            </w:tabs>
            <w:rPr>
              <w:noProof/>
            </w:rPr>
          </w:pPr>
          <w:hyperlink w:anchor="_Toc218961948" w:history="1">
            <w:r w:rsidRPr="00E0486E">
              <w:rPr>
                <w:rStyle w:val="Hyperlink"/>
                <w:noProof/>
              </w:rPr>
              <w:t>5.4.2</w:t>
            </w:r>
            <w:r>
              <w:rPr>
                <w:noProof/>
              </w:rPr>
              <w:tab/>
            </w:r>
            <w:r w:rsidRPr="00E0486E">
              <w:rPr>
                <w:rStyle w:val="Hyperlink"/>
                <w:noProof/>
              </w:rPr>
              <w:t>Quality Management System</w:t>
            </w:r>
            <w:r>
              <w:rPr>
                <w:noProof/>
                <w:webHidden/>
              </w:rPr>
              <w:tab/>
            </w:r>
            <w:r>
              <w:rPr>
                <w:noProof/>
                <w:webHidden/>
              </w:rPr>
              <w:fldChar w:fldCharType="begin"/>
            </w:r>
            <w:r>
              <w:rPr>
                <w:noProof/>
                <w:webHidden/>
              </w:rPr>
              <w:instrText xml:space="preserve"> PAGEREF _Toc218961948 \h </w:instrText>
            </w:r>
            <w:r>
              <w:rPr>
                <w:noProof/>
                <w:webHidden/>
              </w:rPr>
            </w:r>
            <w:r>
              <w:rPr>
                <w:noProof/>
                <w:webHidden/>
              </w:rPr>
              <w:fldChar w:fldCharType="separate"/>
            </w:r>
            <w:r>
              <w:rPr>
                <w:noProof/>
                <w:webHidden/>
              </w:rPr>
              <w:t>12</w:t>
            </w:r>
            <w:r>
              <w:rPr>
                <w:noProof/>
                <w:webHidden/>
              </w:rPr>
              <w:fldChar w:fldCharType="end"/>
            </w:r>
          </w:hyperlink>
        </w:p>
        <w:p w14:paraId="4BC60773" w14:textId="14C9624B" w:rsidR="00743135" w:rsidRDefault="00743135">
          <w:pPr>
            <w:pStyle w:val="TOC3"/>
            <w:tabs>
              <w:tab w:val="left" w:pos="1440"/>
              <w:tab w:val="right" w:leader="dot" w:pos="9968"/>
            </w:tabs>
            <w:rPr>
              <w:noProof/>
            </w:rPr>
          </w:pPr>
          <w:hyperlink w:anchor="_Toc218961949" w:history="1">
            <w:r w:rsidRPr="00E0486E">
              <w:rPr>
                <w:rStyle w:val="Hyperlink"/>
                <w:noProof/>
              </w:rPr>
              <w:t>5.4.3</w:t>
            </w:r>
            <w:r>
              <w:rPr>
                <w:noProof/>
              </w:rPr>
              <w:tab/>
            </w:r>
            <w:r w:rsidRPr="00E0486E">
              <w:rPr>
                <w:rStyle w:val="Hyperlink"/>
                <w:noProof/>
              </w:rPr>
              <w:t>LTI Frequency Rate</w:t>
            </w:r>
            <w:r>
              <w:rPr>
                <w:noProof/>
                <w:webHidden/>
              </w:rPr>
              <w:tab/>
            </w:r>
            <w:r>
              <w:rPr>
                <w:noProof/>
                <w:webHidden/>
              </w:rPr>
              <w:fldChar w:fldCharType="begin"/>
            </w:r>
            <w:r>
              <w:rPr>
                <w:noProof/>
                <w:webHidden/>
              </w:rPr>
              <w:instrText xml:space="preserve"> PAGEREF _Toc218961949 \h </w:instrText>
            </w:r>
            <w:r>
              <w:rPr>
                <w:noProof/>
                <w:webHidden/>
              </w:rPr>
            </w:r>
            <w:r>
              <w:rPr>
                <w:noProof/>
                <w:webHidden/>
              </w:rPr>
              <w:fldChar w:fldCharType="separate"/>
            </w:r>
            <w:r>
              <w:rPr>
                <w:noProof/>
                <w:webHidden/>
              </w:rPr>
              <w:t>12</w:t>
            </w:r>
            <w:r>
              <w:rPr>
                <w:noProof/>
                <w:webHidden/>
              </w:rPr>
              <w:fldChar w:fldCharType="end"/>
            </w:r>
          </w:hyperlink>
        </w:p>
        <w:p w14:paraId="07189F59" w14:textId="1E82666A" w:rsidR="00743135" w:rsidRDefault="00743135">
          <w:pPr>
            <w:pStyle w:val="TOC2"/>
            <w:tabs>
              <w:tab w:val="left" w:pos="720"/>
              <w:tab w:val="right" w:leader="dot" w:pos="9968"/>
            </w:tabs>
            <w:rPr>
              <w:rFonts w:asciiTheme="minorHAnsi" w:eastAsiaTheme="minorEastAsia" w:hAnsiTheme="minorHAnsi" w:cstheme="minorBidi"/>
              <w:noProof/>
              <w:sz w:val="24"/>
              <w:szCs w:val="24"/>
              <w:lang w:eastAsia="en-AU"/>
            </w:rPr>
          </w:pPr>
          <w:hyperlink w:anchor="_Toc218961950" w:history="1">
            <w:r w:rsidRPr="00E0486E">
              <w:rPr>
                <w:rStyle w:val="Hyperlink"/>
                <w:noProof/>
              </w:rPr>
              <w:t>5.5</w:t>
            </w:r>
            <w:r>
              <w:rPr>
                <w:rFonts w:asciiTheme="minorHAnsi" w:eastAsiaTheme="minorEastAsia" w:hAnsiTheme="minorHAnsi" w:cstheme="minorBidi"/>
                <w:noProof/>
                <w:sz w:val="24"/>
                <w:szCs w:val="24"/>
                <w:lang w:eastAsia="en-AU"/>
              </w:rPr>
              <w:tab/>
            </w:r>
            <w:r w:rsidRPr="00E0486E">
              <w:rPr>
                <w:rStyle w:val="Hyperlink"/>
                <w:noProof/>
              </w:rPr>
              <w:t>Local Industry Participation</w:t>
            </w:r>
            <w:r>
              <w:rPr>
                <w:noProof/>
                <w:webHidden/>
              </w:rPr>
              <w:tab/>
            </w:r>
            <w:r>
              <w:rPr>
                <w:noProof/>
                <w:webHidden/>
              </w:rPr>
              <w:fldChar w:fldCharType="begin"/>
            </w:r>
            <w:r>
              <w:rPr>
                <w:noProof/>
                <w:webHidden/>
              </w:rPr>
              <w:instrText xml:space="preserve"> PAGEREF _Toc218961950 \h </w:instrText>
            </w:r>
            <w:r>
              <w:rPr>
                <w:noProof/>
                <w:webHidden/>
              </w:rPr>
            </w:r>
            <w:r>
              <w:rPr>
                <w:noProof/>
                <w:webHidden/>
              </w:rPr>
              <w:fldChar w:fldCharType="separate"/>
            </w:r>
            <w:r>
              <w:rPr>
                <w:noProof/>
                <w:webHidden/>
              </w:rPr>
              <w:t>12</w:t>
            </w:r>
            <w:r>
              <w:rPr>
                <w:noProof/>
                <w:webHidden/>
              </w:rPr>
              <w:fldChar w:fldCharType="end"/>
            </w:r>
          </w:hyperlink>
        </w:p>
        <w:p w14:paraId="56A5C145" w14:textId="09EF235B" w:rsidR="00743135" w:rsidRDefault="00743135">
          <w:pPr>
            <w:pStyle w:val="TOC3"/>
            <w:tabs>
              <w:tab w:val="left" w:pos="1440"/>
              <w:tab w:val="right" w:leader="dot" w:pos="9968"/>
            </w:tabs>
            <w:rPr>
              <w:noProof/>
            </w:rPr>
          </w:pPr>
          <w:hyperlink w:anchor="_Toc218961951" w:history="1">
            <w:r w:rsidRPr="00E0486E">
              <w:rPr>
                <w:rStyle w:val="Hyperlink"/>
                <w:noProof/>
              </w:rPr>
              <w:t>5.5.1</w:t>
            </w:r>
            <w:r>
              <w:rPr>
                <w:noProof/>
              </w:rPr>
              <w:tab/>
            </w:r>
            <w:r w:rsidRPr="00E0486E">
              <w:rPr>
                <w:rStyle w:val="Hyperlink"/>
                <w:noProof/>
              </w:rPr>
              <w:t>Procurement Targets</w:t>
            </w:r>
            <w:r>
              <w:rPr>
                <w:noProof/>
                <w:webHidden/>
              </w:rPr>
              <w:tab/>
            </w:r>
            <w:r>
              <w:rPr>
                <w:noProof/>
                <w:webHidden/>
              </w:rPr>
              <w:fldChar w:fldCharType="begin"/>
            </w:r>
            <w:r>
              <w:rPr>
                <w:noProof/>
                <w:webHidden/>
              </w:rPr>
              <w:instrText xml:space="preserve"> PAGEREF _Toc218961951 \h </w:instrText>
            </w:r>
            <w:r>
              <w:rPr>
                <w:noProof/>
                <w:webHidden/>
              </w:rPr>
            </w:r>
            <w:r>
              <w:rPr>
                <w:noProof/>
                <w:webHidden/>
              </w:rPr>
              <w:fldChar w:fldCharType="separate"/>
            </w:r>
            <w:r>
              <w:rPr>
                <w:noProof/>
                <w:webHidden/>
              </w:rPr>
              <w:t>12</w:t>
            </w:r>
            <w:r>
              <w:rPr>
                <w:noProof/>
                <w:webHidden/>
              </w:rPr>
              <w:fldChar w:fldCharType="end"/>
            </w:r>
          </w:hyperlink>
        </w:p>
        <w:p w14:paraId="2FF446CA" w14:textId="534F4F98" w:rsidR="00743135" w:rsidRDefault="00743135">
          <w:pPr>
            <w:pStyle w:val="TOC3"/>
            <w:tabs>
              <w:tab w:val="left" w:pos="1440"/>
              <w:tab w:val="right" w:leader="dot" w:pos="9968"/>
            </w:tabs>
            <w:rPr>
              <w:noProof/>
            </w:rPr>
          </w:pPr>
          <w:hyperlink w:anchor="_Toc218961952" w:history="1">
            <w:r w:rsidRPr="00E0486E">
              <w:rPr>
                <w:rStyle w:val="Hyperlink"/>
                <w:noProof/>
              </w:rPr>
              <w:t>5.5.2</w:t>
            </w:r>
            <w:r>
              <w:rPr>
                <w:noProof/>
              </w:rPr>
              <w:tab/>
            </w:r>
            <w:r w:rsidRPr="00E0486E">
              <w:rPr>
                <w:rStyle w:val="Hyperlink"/>
                <w:noProof/>
              </w:rPr>
              <w:t>Indigenous Participation</w:t>
            </w:r>
            <w:r>
              <w:rPr>
                <w:noProof/>
                <w:webHidden/>
              </w:rPr>
              <w:tab/>
            </w:r>
            <w:r>
              <w:rPr>
                <w:noProof/>
                <w:webHidden/>
              </w:rPr>
              <w:fldChar w:fldCharType="begin"/>
            </w:r>
            <w:r>
              <w:rPr>
                <w:noProof/>
                <w:webHidden/>
              </w:rPr>
              <w:instrText xml:space="preserve"> PAGEREF _Toc218961952 \h </w:instrText>
            </w:r>
            <w:r>
              <w:rPr>
                <w:noProof/>
                <w:webHidden/>
              </w:rPr>
            </w:r>
            <w:r>
              <w:rPr>
                <w:noProof/>
                <w:webHidden/>
              </w:rPr>
              <w:fldChar w:fldCharType="separate"/>
            </w:r>
            <w:r>
              <w:rPr>
                <w:noProof/>
                <w:webHidden/>
              </w:rPr>
              <w:t>12</w:t>
            </w:r>
            <w:r>
              <w:rPr>
                <w:noProof/>
                <w:webHidden/>
              </w:rPr>
              <w:fldChar w:fldCharType="end"/>
            </w:r>
          </w:hyperlink>
        </w:p>
        <w:p w14:paraId="494C7B3D" w14:textId="2C166BBD" w:rsidR="00743135" w:rsidRDefault="00743135">
          <w:pPr>
            <w:pStyle w:val="TOC3"/>
            <w:tabs>
              <w:tab w:val="left" w:pos="1440"/>
              <w:tab w:val="right" w:leader="dot" w:pos="9968"/>
            </w:tabs>
            <w:rPr>
              <w:noProof/>
            </w:rPr>
          </w:pPr>
          <w:hyperlink w:anchor="_Toc218961953" w:history="1">
            <w:r w:rsidRPr="00E0486E">
              <w:rPr>
                <w:rStyle w:val="Hyperlink"/>
                <w:noProof/>
              </w:rPr>
              <w:t>5.5.3</w:t>
            </w:r>
            <w:r>
              <w:rPr>
                <w:noProof/>
              </w:rPr>
              <w:tab/>
            </w:r>
            <w:r w:rsidRPr="00E0486E">
              <w:rPr>
                <w:rStyle w:val="Hyperlink"/>
                <w:noProof/>
              </w:rPr>
              <w:t>Skills and Training</w:t>
            </w:r>
            <w:r>
              <w:rPr>
                <w:noProof/>
                <w:webHidden/>
              </w:rPr>
              <w:tab/>
            </w:r>
            <w:r>
              <w:rPr>
                <w:noProof/>
                <w:webHidden/>
              </w:rPr>
              <w:fldChar w:fldCharType="begin"/>
            </w:r>
            <w:r>
              <w:rPr>
                <w:noProof/>
                <w:webHidden/>
              </w:rPr>
              <w:instrText xml:space="preserve"> PAGEREF _Toc218961953 \h </w:instrText>
            </w:r>
            <w:r>
              <w:rPr>
                <w:noProof/>
                <w:webHidden/>
              </w:rPr>
            </w:r>
            <w:r>
              <w:rPr>
                <w:noProof/>
                <w:webHidden/>
              </w:rPr>
              <w:fldChar w:fldCharType="separate"/>
            </w:r>
            <w:r>
              <w:rPr>
                <w:noProof/>
                <w:webHidden/>
              </w:rPr>
              <w:t>12</w:t>
            </w:r>
            <w:r>
              <w:rPr>
                <w:noProof/>
                <w:webHidden/>
              </w:rPr>
              <w:fldChar w:fldCharType="end"/>
            </w:r>
          </w:hyperlink>
        </w:p>
        <w:p w14:paraId="1620B46C" w14:textId="12FCD8C8" w:rsidR="00743135" w:rsidRDefault="00743135">
          <w:pPr>
            <w:pStyle w:val="TOC1"/>
            <w:tabs>
              <w:tab w:val="left" w:pos="400"/>
              <w:tab w:val="right" w:leader="dot" w:pos="9968"/>
            </w:tabs>
            <w:rPr>
              <w:rFonts w:asciiTheme="minorHAnsi" w:eastAsiaTheme="minorEastAsia" w:hAnsiTheme="minorHAnsi" w:cstheme="minorBidi"/>
              <w:noProof/>
              <w:sz w:val="24"/>
              <w:szCs w:val="24"/>
              <w:lang w:eastAsia="en-AU"/>
            </w:rPr>
          </w:pPr>
          <w:hyperlink w:anchor="_Toc218961954" w:history="1">
            <w:r w:rsidRPr="00E0486E">
              <w:rPr>
                <w:rStyle w:val="Hyperlink"/>
                <w:noProof/>
              </w:rPr>
              <w:t>6</w:t>
            </w:r>
            <w:r>
              <w:rPr>
                <w:rFonts w:asciiTheme="minorHAnsi" w:eastAsiaTheme="minorEastAsia" w:hAnsiTheme="minorHAnsi" w:cstheme="minorBidi"/>
                <w:noProof/>
                <w:sz w:val="24"/>
                <w:szCs w:val="24"/>
                <w:lang w:eastAsia="en-AU"/>
              </w:rPr>
              <w:tab/>
            </w:r>
            <w:r w:rsidRPr="00E0486E">
              <w:rPr>
                <w:rStyle w:val="Hyperlink"/>
                <w:noProof/>
              </w:rPr>
              <w:t>Volume 3: Supporting Documentation</w:t>
            </w:r>
            <w:r>
              <w:rPr>
                <w:noProof/>
                <w:webHidden/>
              </w:rPr>
              <w:tab/>
            </w:r>
            <w:r>
              <w:rPr>
                <w:noProof/>
                <w:webHidden/>
              </w:rPr>
              <w:fldChar w:fldCharType="begin"/>
            </w:r>
            <w:r>
              <w:rPr>
                <w:noProof/>
                <w:webHidden/>
              </w:rPr>
              <w:instrText xml:space="preserve"> PAGEREF _Toc218961954 \h </w:instrText>
            </w:r>
            <w:r>
              <w:rPr>
                <w:noProof/>
                <w:webHidden/>
              </w:rPr>
            </w:r>
            <w:r>
              <w:rPr>
                <w:noProof/>
                <w:webHidden/>
              </w:rPr>
              <w:fldChar w:fldCharType="separate"/>
            </w:r>
            <w:r>
              <w:rPr>
                <w:noProof/>
                <w:webHidden/>
              </w:rPr>
              <w:t>13</w:t>
            </w:r>
            <w:r>
              <w:rPr>
                <w:noProof/>
                <w:webHidden/>
              </w:rPr>
              <w:fldChar w:fldCharType="end"/>
            </w:r>
          </w:hyperlink>
        </w:p>
        <w:p w14:paraId="7FB63DDD" w14:textId="0C936CF5" w:rsidR="00743135" w:rsidRDefault="00743135">
          <w:pPr>
            <w:pStyle w:val="TOC2"/>
            <w:tabs>
              <w:tab w:val="left" w:pos="720"/>
              <w:tab w:val="right" w:leader="dot" w:pos="9968"/>
            </w:tabs>
            <w:rPr>
              <w:rFonts w:asciiTheme="minorHAnsi" w:eastAsiaTheme="minorEastAsia" w:hAnsiTheme="minorHAnsi" w:cstheme="minorBidi"/>
              <w:noProof/>
              <w:sz w:val="24"/>
              <w:szCs w:val="24"/>
              <w:lang w:eastAsia="en-AU"/>
            </w:rPr>
          </w:pPr>
          <w:hyperlink w:anchor="_Toc218961955" w:history="1">
            <w:r w:rsidRPr="00E0486E">
              <w:rPr>
                <w:rStyle w:val="Hyperlink"/>
                <w:noProof/>
              </w:rPr>
              <w:t>6.1</w:t>
            </w:r>
            <w:r>
              <w:rPr>
                <w:rFonts w:asciiTheme="minorHAnsi" w:eastAsiaTheme="minorEastAsia" w:hAnsiTheme="minorHAnsi" w:cstheme="minorBidi"/>
                <w:noProof/>
                <w:sz w:val="24"/>
                <w:szCs w:val="24"/>
                <w:lang w:eastAsia="en-AU"/>
              </w:rPr>
              <w:tab/>
            </w:r>
            <w:r w:rsidRPr="00E0486E">
              <w:rPr>
                <w:rStyle w:val="Hyperlink"/>
                <w:noProof/>
              </w:rPr>
              <w:t>Company Profile</w:t>
            </w:r>
            <w:r>
              <w:rPr>
                <w:noProof/>
                <w:webHidden/>
              </w:rPr>
              <w:tab/>
            </w:r>
            <w:r>
              <w:rPr>
                <w:noProof/>
                <w:webHidden/>
              </w:rPr>
              <w:fldChar w:fldCharType="begin"/>
            </w:r>
            <w:r>
              <w:rPr>
                <w:noProof/>
                <w:webHidden/>
              </w:rPr>
              <w:instrText xml:space="preserve"> PAGEREF _Toc218961955 \h </w:instrText>
            </w:r>
            <w:r>
              <w:rPr>
                <w:noProof/>
                <w:webHidden/>
              </w:rPr>
            </w:r>
            <w:r>
              <w:rPr>
                <w:noProof/>
                <w:webHidden/>
              </w:rPr>
              <w:fldChar w:fldCharType="separate"/>
            </w:r>
            <w:r>
              <w:rPr>
                <w:noProof/>
                <w:webHidden/>
              </w:rPr>
              <w:t>13</w:t>
            </w:r>
            <w:r>
              <w:rPr>
                <w:noProof/>
                <w:webHidden/>
              </w:rPr>
              <w:fldChar w:fldCharType="end"/>
            </w:r>
          </w:hyperlink>
        </w:p>
        <w:p w14:paraId="0D70550E" w14:textId="1B30DB08" w:rsidR="00743135" w:rsidRDefault="00743135">
          <w:pPr>
            <w:pStyle w:val="TOC2"/>
            <w:tabs>
              <w:tab w:val="left" w:pos="720"/>
              <w:tab w:val="right" w:leader="dot" w:pos="9968"/>
            </w:tabs>
            <w:rPr>
              <w:rFonts w:asciiTheme="minorHAnsi" w:eastAsiaTheme="minorEastAsia" w:hAnsiTheme="minorHAnsi" w:cstheme="minorBidi"/>
              <w:noProof/>
              <w:sz w:val="24"/>
              <w:szCs w:val="24"/>
              <w:lang w:eastAsia="en-AU"/>
            </w:rPr>
          </w:pPr>
          <w:hyperlink w:anchor="_Toc218961956" w:history="1">
            <w:r w:rsidRPr="00E0486E">
              <w:rPr>
                <w:rStyle w:val="Hyperlink"/>
                <w:noProof/>
              </w:rPr>
              <w:t>6.2</w:t>
            </w:r>
            <w:r>
              <w:rPr>
                <w:rFonts w:asciiTheme="minorHAnsi" w:eastAsiaTheme="minorEastAsia" w:hAnsiTheme="minorHAnsi" w:cstheme="minorBidi"/>
                <w:noProof/>
                <w:sz w:val="24"/>
                <w:szCs w:val="24"/>
                <w:lang w:eastAsia="en-AU"/>
              </w:rPr>
              <w:tab/>
            </w:r>
            <w:r w:rsidRPr="00E0486E">
              <w:rPr>
                <w:rStyle w:val="Hyperlink"/>
                <w:noProof/>
              </w:rPr>
              <w:t>Case Studies</w:t>
            </w:r>
            <w:r>
              <w:rPr>
                <w:noProof/>
                <w:webHidden/>
              </w:rPr>
              <w:tab/>
            </w:r>
            <w:r>
              <w:rPr>
                <w:noProof/>
                <w:webHidden/>
              </w:rPr>
              <w:fldChar w:fldCharType="begin"/>
            </w:r>
            <w:r>
              <w:rPr>
                <w:noProof/>
                <w:webHidden/>
              </w:rPr>
              <w:instrText xml:space="preserve"> PAGEREF _Toc218961956 \h </w:instrText>
            </w:r>
            <w:r>
              <w:rPr>
                <w:noProof/>
                <w:webHidden/>
              </w:rPr>
            </w:r>
            <w:r>
              <w:rPr>
                <w:noProof/>
                <w:webHidden/>
              </w:rPr>
              <w:fldChar w:fldCharType="separate"/>
            </w:r>
            <w:r>
              <w:rPr>
                <w:noProof/>
                <w:webHidden/>
              </w:rPr>
              <w:t>13</w:t>
            </w:r>
            <w:r>
              <w:rPr>
                <w:noProof/>
                <w:webHidden/>
              </w:rPr>
              <w:fldChar w:fldCharType="end"/>
            </w:r>
          </w:hyperlink>
        </w:p>
        <w:p w14:paraId="297BA0AD" w14:textId="524DE021" w:rsidR="00743135" w:rsidRDefault="00743135">
          <w:pPr>
            <w:pStyle w:val="TOC1"/>
            <w:tabs>
              <w:tab w:val="right" w:leader="dot" w:pos="9968"/>
            </w:tabs>
            <w:rPr>
              <w:rFonts w:asciiTheme="minorHAnsi" w:eastAsiaTheme="minorEastAsia" w:hAnsiTheme="minorHAnsi" w:cstheme="minorBidi"/>
              <w:noProof/>
              <w:sz w:val="24"/>
              <w:szCs w:val="24"/>
              <w:lang w:eastAsia="en-AU"/>
            </w:rPr>
          </w:pPr>
          <w:hyperlink w:anchor="_Toc218961957" w:history="1">
            <w:r w:rsidRPr="00E0486E">
              <w:rPr>
                <w:rStyle w:val="Hyperlink"/>
                <w:noProof/>
              </w:rPr>
              <w:t>Appendix A | Curriculum Vitae</w:t>
            </w:r>
            <w:r>
              <w:rPr>
                <w:noProof/>
                <w:webHidden/>
              </w:rPr>
              <w:tab/>
            </w:r>
            <w:r>
              <w:rPr>
                <w:noProof/>
                <w:webHidden/>
              </w:rPr>
              <w:fldChar w:fldCharType="begin"/>
            </w:r>
            <w:r>
              <w:rPr>
                <w:noProof/>
                <w:webHidden/>
              </w:rPr>
              <w:instrText xml:space="preserve"> PAGEREF _Toc218961957 \h </w:instrText>
            </w:r>
            <w:r>
              <w:rPr>
                <w:noProof/>
                <w:webHidden/>
              </w:rPr>
            </w:r>
            <w:r>
              <w:rPr>
                <w:noProof/>
                <w:webHidden/>
              </w:rPr>
              <w:fldChar w:fldCharType="separate"/>
            </w:r>
            <w:r>
              <w:rPr>
                <w:noProof/>
                <w:webHidden/>
              </w:rPr>
              <w:t>15</w:t>
            </w:r>
            <w:r>
              <w:rPr>
                <w:noProof/>
                <w:webHidden/>
              </w:rPr>
              <w:fldChar w:fldCharType="end"/>
            </w:r>
          </w:hyperlink>
        </w:p>
        <w:p w14:paraId="06CFD53B" w14:textId="55E7CC0B" w:rsidR="00743135" w:rsidRDefault="00743135">
          <w:pPr>
            <w:pStyle w:val="TOC1"/>
            <w:tabs>
              <w:tab w:val="right" w:leader="dot" w:pos="9968"/>
            </w:tabs>
            <w:rPr>
              <w:rFonts w:asciiTheme="minorHAnsi" w:eastAsiaTheme="minorEastAsia" w:hAnsiTheme="minorHAnsi" w:cstheme="minorBidi"/>
              <w:noProof/>
              <w:sz w:val="24"/>
              <w:szCs w:val="24"/>
              <w:lang w:eastAsia="en-AU"/>
            </w:rPr>
          </w:pPr>
          <w:hyperlink w:anchor="_Toc218961958" w:history="1">
            <w:r w:rsidRPr="00E0486E">
              <w:rPr>
                <w:rStyle w:val="Hyperlink"/>
                <w:noProof/>
              </w:rPr>
              <w:t>Appendix B | Insurance Certificates</w:t>
            </w:r>
            <w:r>
              <w:rPr>
                <w:noProof/>
                <w:webHidden/>
              </w:rPr>
              <w:tab/>
            </w:r>
            <w:r>
              <w:rPr>
                <w:noProof/>
                <w:webHidden/>
              </w:rPr>
              <w:fldChar w:fldCharType="begin"/>
            </w:r>
            <w:r>
              <w:rPr>
                <w:noProof/>
                <w:webHidden/>
              </w:rPr>
              <w:instrText xml:space="preserve"> PAGEREF _Toc218961958 \h </w:instrText>
            </w:r>
            <w:r>
              <w:rPr>
                <w:noProof/>
                <w:webHidden/>
              </w:rPr>
            </w:r>
            <w:r>
              <w:rPr>
                <w:noProof/>
                <w:webHidden/>
              </w:rPr>
              <w:fldChar w:fldCharType="separate"/>
            </w:r>
            <w:r>
              <w:rPr>
                <w:noProof/>
                <w:webHidden/>
              </w:rPr>
              <w:t>25</w:t>
            </w:r>
            <w:r>
              <w:rPr>
                <w:noProof/>
                <w:webHidden/>
              </w:rPr>
              <w:fldChar w:fldCharType="end"/>
            </w:r>
          </w:hyperlink>
        </w:p>
        <w:p w14:paraId="21578F25" w14:textId="6E33FDBD" w:rsidR="008F2F4B" w:rsidRDefault="008F2F4B">
          <w:r>
            <w:rPr>
              <w:b/>
              <w:bCs/>
              <w:lang w:val="en-GB"/>
            </w:rPr>
            <w:fldChar w:fldCharType="end"/>
          </w:r>
        </w:p>
      </w:sdtContent>
    </w:sdt>
    <w:p w14:paraId="371B4912" w14:textId="77777777" w:rsidR="00CF10B2" w:rsidRPr="008F2F4B" w:rsidRDefault="00CF10B2" w:rsidP="007E6630">
      <w:pPr>
        <w:rPr>
          <w:rFonts w:eastAsia="SimSun"/>
          <w:color w:val="E61E28"/>
          <w:kern w:val="0"/>
          <w:sz w:val="22"/>
          <w:szCs w:val="22"/>
          <w:lang w:eastAsia="zh-CN"/>
          <w14:ligatures w14:val="none"/>
        </w:rPr>
        <w:sectPr w:rsidR="00CF10B2" w:rsidRPr="008F2F4B" w:rsidSect="00686518">
          <w:footerReference w:type="default" r:id="rId8"/>
          <w:footerReference w:type="first" r:id="rId9"/>
          <w:pgSz w:w="11906" w:h="16838"/>
          <w:pgMar w:top="1361" w:right="964" w:bottom="1134" w:left="964" w:header="709" w:footer="567" w:gutter="0"/>
          <w:pgNumType w:start="1"/>
          <w:cols w:space="708"/>
          <w:titlePg/>
          <w:docGrid w:linePitch="360"/>
        </w:sectPr>
      </w:pPr>
    </w:p>
    <w:p w14:paraId="1E5C0D9A" w14:textId="77777777" w:rsidR="00CF10B2" w:rsidRDefault="00000000" w:rsidP="00CF10B2">
      <w:pPr>
        <w:pStyle w:val="Heading1"/>
      </w:pPr>
      <w:bookmarkStart w:id="0" w:name="_Toc218961910"/>
      <w:bookmarkStart w:id="1" w:name="executive-summary"/>
      <w:r>
        <w:lastRenderedPageBreak/>
        <w:t>Executive Summary</w:t>
      </w:r>
      <w:bookmarkEnd w:id="0"/>
    </w:p>
    <w:p w14:paraId="4C829BD8" w14:textId="77777777" w:rsidR="00990844" w:rsidRDefault="00000000">
      <w:pPr>
        <w:pStyle w:val="FirstParagraph"/>
      </w:pPr>
      <w:r>
        <w:rPr>
          <w:b/>
          <w:bCs/>
        </w:rPr>
        <w:t>Project:</w:t>
      </w:r>
      <w:r>
        <w:t xml:space="preserve"> Civic Centre Refurbishment and Community Hub Expansion (RFT-2026-042)</w:t>
      </w:r>
      <w:r>
        <w:br/>
      </w:r>
      <w:r>
        <w:rPr>
          <w:b/>
          <w:bCs/>
        </w:rPr>
        <w:t>Submitted By:</w:t>
      </w:r>
      <w:r>
        <w:t xml:space="preserve"> Apex Horizon Constructions</w:t>
      </w:r>
      <w:r>
        <w:br/>
      </w:r>
      <w:r>
        <w:rPr>
          <w:b/>
          <w:bCs/>
        </w:rPr>
        <w:t>Date:</w:t>
      </w:r>
      <w:r>
        <w:t xml:space="preserve"> [Insert Submission Date]</w:t>
      </w:r>
    </w:p>
    <w:p w14:paraId="49A19193" w14:textId="77777777" w:rsidR="00990844" w:rsidRDefault="00000000">
      <w:pPr>
        <w:pStyle w:val="Heading3"/>
      </w:pPr>
      <w:bookmarkStart w:id="2" w:name="_Toc218961911"/>
      <w:bookmarkStart w:id="3" w:name="overview-of-offer"/>
      <w:r>
        <w:t>1. Overview of Offer</w:t>
      </w:r>
      <w:bookmarkEnd w:id="2"/>
    </w:p>
    <w:p w14:paraId="565A81A7" w14:textId="77777777" w:rsidR="00990844" w:rsidRDefault="00000000">
      <w:pPr>
        <w:pStyle w:val="FirstParagraph"/>
      </w:pPr>
      <w:r>
        <w:t xml:space="preserve">Apex Horizon Constructions is proud to submit this tender response to Green Valley Regional Council. We view the Civic Centre Upgrade not merely as a construction contract, but as a critical initiative to revitalise the community heart of Green Valley. Our submission proposes a comprehensive, fully compliant </w:t>
      </w:r>
      <w:r>
        <w:rPr>
          <w:b/>
          <w:bCs/>
        </w:rPr>
        <w:t>Fixed Lump Sum</w:t>
      </w:r>
      <w:r>
        <w:t xml:space="preserve"> offer to deliver the refurbishment and expansion within a </w:t>
      </w:r>
      <w:r>
        <w:rPr>
          <w:b/>
          <w:bCs/>
        </w:rPr>
        <w:t>42-week program</w:t>
      </w:r>
      <w:r>
        <w:t>.</w:t>
      </w:r>
    </w:p>
    <w:p w14:paraId="692CC7EB" w14:textId="77777777" w:rsidR="00990844" w:rsidRDefault="00000000">
      <w:pPr>
        <w:pStyle w:val="BodyText"/>
      </w:pPr>
      <w:r>
        <w:t>In an industry currently defined by volatility, Apex Horizon offers the Council stability, certainty, and transparency. Our “zero debt” financial position, combined with a track record of delivering complex community infrastructure in live environments, ensures we are the lowest-risk partner for this project. We commit to delivering a high-quality facility that honors the architectural intent while ensuring the library remains a safe, quiet, and accessible haven for the community during construction.</w:t>
      </w:r>
    </w:p>
    <w:p w14:paraId="75FE83EB" w14:textId="77777777" w:rsidR="00990844" w:rsidRDefault="00000000">
      <w:pPr>
        <w:pStyle w:val="Heading3"/>
      </w:pPr>
      <w:bookmarkStart w:id="4" w:name="_Toc218961912"/>
      <w:bookmarkStart w:id="5" w:name="experience-and-capability"/>
      <w:bookmarkEnd w:id="3"/>
      <w:r>
        <w:t>2. Experience and Capability</w:t>
      </w:r>
      <w:bookmarkEnd w:id="4"/>
    </w:p>
    <w:p w14:paraId="4017D0BF" w14:textId="77777777" w:rsidR="00990844" w:rsidRDefault="00000000">
      <w:pPr>
        <w:pStyle w:val="FirstParagraph"/>
      </w:pPr>
      <w:r>
        <w:t>Our confidence in delivering this project is founded on recent, directly relevant experience. We have successfully delivered over $400 million in projects, with a specific focus on community and civic infrastructure.</w:t>
      </w:r>
    </w:p>
    <w:p w14:paraId="6CB00B52" w14:textId="77777777" w:rsidR="00990844" w:rsidRDefault="00000000">
      <w:pPr>
        <w:pStyle w:val="Compact"/>
        <w:numPr>
          <w:ilvl w:val="0"/>
          <w:numId w:val="30"/>
        </w:numPr>
      </w:pPr>
      <w:r>
        <w:rPr>
          <w:b/>
          <w:bCs/>
        </w:rPr>
        <w:t>Relevant Complexity:</w:t>
      </w:r>
      <w:r>
        <w:t xml:space="preserve"> We recently completed the </w:t>
      </w:r>
      <w:r>
        <w:rPr>
          <w:b/>
          <w:bCs/>
        </w:rPr>
        <w:t>Riverside Library &amp; Digital Hub ($4.2M)</w:t>
      </w:r>
      <w:r>
        <w:t xml:space="preserve"> and the </w:t>
      </w:r>
      <w:r>
        <w:rPr>
          <w:b/>
          <w:bCs/>
        </w:rPr>
        <w:t>West End Primary School STEM Precinct ($5.5M)</w:t>
      </w:r>
      <w:r>
        <w:t>. Both projects mirrored the specific challenges of Green Valley: adaptive reuse of existing structures, high-specification internal fitouts, and strict acoustic management.</w:t>
      </w:r>
    </w:p>
    <w:p w14:paraId="38AF441F" w14:textId="77777777" w:rsidR="00990844" w:rsidRDefault="00000000">
      <w:pPr>
        <w:pStyle w:val="Compact"/>
        <w:numPr>
          <w:ilvl w:val="0"/>
          <w:numId w:val="30"/>
        </w:numPr>
      </w:pPr>
      <w:r>
        <w:rPr>
          <w:b/>
          <w:bCs/>
        </w:rPr>
        <w:t>Capacity to Deliver:</w:t>
      </w:r>
      <w:r>
        <w:t xml:space="preserve"> With an annual turnover of </w:t>
      </w:r>
      <w:r>
        <w:rPr>
          <w:b/>
          <w:bCs/>
        </w:rPr>
        <w:t>$65 Million</w:t>
      </w:r>
      <w:r>
        <w:t xml:space="preserve"> and a bonding facility of </w:t>
      </w:r>
      <w:r>
        <w:rPr>
          <w:b/>
          <w:bCs/>
        </w:rPr>
        <w:t>$30 Million</w:t>
      </w:r>
      <w:r>
        <w:t>, we possess the financial depth to manage project cash flow independently, shielding the Council from supply chain insolvency risks.</w:t>
      </w:r>
    </w:p>
    <w:p w14:paraId="36D53281" w14:textId="77777777" w:rsidR="00990844" w:rsidRDefault="00000000">
      <w:pPr>
        <w:pStyle w:val="Compact"/>
        <w:numPr>
          <w:ilvl w:val="0"/>
          <w:numId w:val="30"/>
        </w:numPr>
      </w:pPr>
      <w:r>
        <w:rPr>
          <w:b/>
          <w:bCs/>
        </w:rPr>
        <w:t>Safety Excellence:</w:t>
      </w:r>
      <w:r>
        <w:t xml:space="preserve"> Our safety culture is driven by a unique clinical perspective. Under our ISO 45001 certified system, we have maintained a </w:t>
      </w:r>
      <w:r>
        <w:rPr>
          <w:b/>
          <w:bCs/>
        </w:rPr>
        <w:t>Lost Time Injury (LTI) Frequency Rate of 0.0</w:t>
      </w:r>
      <w:r>
        <w:t xml:space="preserve"> for three consecutive years.</w:t>
      </w:r>
    </w:p>
    <w:p w14:paraId="2BFF3F27" w14:textId="77777777" w:rsidR="00990844" w:rsidRDefault="00000000">
      <w:pPr>
        <w:pStyle w:val="Heading3"/>
      </w:pPr>
      <w:bookmarkStart w:id="6" w:name="_Toc218961913"/>
      <w:bookmarkStart w:id="7" w:name="Xff482376d906c850b1a786db48d15d7e4807a90"/>
      <w:bookmarkEnd w:id="5"/>
      <w:r>
        <w:t>3. Methodology: Operational Continuity &amp; Safety</w:t>
      </w:r>
      <w:bookmarkEnd w:id="6"/>
    </w:p>
    <w:p w14:paraId="7A268F29" w14:textId="77777777" w:rsidR="00990844" w:rsidRDefault="00000000">
      <w:pPr>
        <w:pStyle w:val="FirstParagraph"/>
      </w:pPr>
      <w:r>
        <w:t>We understand that the Green Valley Library must remain fully operational throughout the build. Our methodology treats the library not as a neighbour, but as a primary stakeholder.</w:t>
      </w:r>
    </w:p>
    <w:p w14:paraId="344F097D" w14:textId="77777777" w:rsidR="00990844" w:rsidRDefault="00000000">
      <w:pPr>
        <w:pStyle w:val="Compact"/>
        <w:numPr>
          <w:ilvl w:val="0"/>
          <w:numId w:val="31"/>
        </w:numPr>
      </w:pPr>
      <w:r>
        <w:rPr>
          <w:b/>
          <w:bCs/>
        </w:rPr>
        <w:t>Minimising Disruption:</w:t>
      </w:r>
      <w:r>
        <w:t xml:space="preserve"> We have programmed all high-noise activities (demolition, concrete cutting) strictly between </w:t>
      </w:r>
      <w:r>
        <w:rPr>
          <w:b/>
          <w:bCs/>
        </w:rPr>
        <w:t>07:00–09:00 and 16:00–18:00</w:t>
      </w:r>
      <w:r>
        <w:t>. During library operating hours, we will implement “Quiet Works” protocols and utilise acoustic hoarding to ensure internal noise levels remain conducive to study and community activities.</w:t>
      </w:r>
    </w:p>
    <w:p w14:paraId="572BC1F9" w14:textId="77777777" w:rsidR="00990844" w:rsidRDefault="00000000">
      <w:pPr>
        <w:pStyle w:val="Compact"/>
        <w:numPr>
          <w:ilvl w:val="0"/>
          <w:numId w:val="31"/>
        </w:numPr>
      </w:pPr>
      <w:r>
        <w:rPr>
          <w:b/>
          <w:bCs/>
        </w:rPr>
        <w:t>School Zone Safety:</w:t>
      </w:r>
      <w:r>
        <w:t xml:space="preserve"> We have integrated the constraints of the adjacent school zone into our logistics plan. No heavy vehicles will access the site during drop-off (08:00–09:30) or pick-up (14:30–16:00) times, and all traffic will be marshalled via Eucalyptus Drive to keep School Lane clear.</w:t>
      </w:r>
    </w:p>
    <w:p w14:paraId="44BD44D3" w14:textId="77777777" w:rsidR="00990844" w:rsidRDefault="00000000">
      <w:pPr>
        <w:pStyle w:val="Compact"/>
        <w:numPr>
          <w:ilvl w:val="0"/>
          <w:numId w:val="31"/>
        </w:numPr>
      </w:pPr>
      <w:r>
        <w:rPr>
          <w:b/>
          <w:bCs/>
        </w:rPr>
        <w:t>Heritage Preservation:</w:t>
      </w:r>
      <w:r>
        <w:t xml:space="preserve"> We recognise the cultural value of the </w:t>
      </w:r>
      <w:r>
        <w:rPr>
          <w:b/>
          <w:bCs/>
        </w:rPr>
        <w:t>“Old Oak”</w:t>
      </w:r>
      <w:r>
        <w:t xml:space="preserve"> on the western boundary. We will engage a Level 5 Arborist to supervise the Tree Protection Zone (TPZ) and utilise non-destructive digging methods to guarantee its preservation.</w:t>
      </w:r>
    </w:p>
    <w:p w14:paraId="2C06248D" w14:textId="77777777" w:rsidR="00990844" w:rsidRDefault="00000000">
      <w:pPr>
        <w:pStyle w:val="Heading3"/>
      </w:pPr>
      <w:bookmarkStart w:id="8" w:name="_Toc218961914"/>
      <w:bookmarkStart w:id="9" w:name="program-certainty"/>
      <w:bookmarkEnd w:id="7"/>
      <w:r>
        <w:t>4. Program Certainty</w:t>
      </w:r>
      <w:bookmarkEnd w:id="8"/>
    </w:p>
    <w:p w14:paraId="02B4FD28" w14:textId="77777777" w:rsidR="00990844" w:rsidRDefault="00000000">
      <w:pPr>
        <w:pStyle w:val="FirstParagraph"/>
      </w:pPr>
      <w:r>
        <w:t xml:space="preserve">Apex Horizon commits to a </w:t>
      </w:r>
      <w:r>
        <w:rPr>
          <w:b/>
          <w:bCs/>
        </w:rPr>
        <w:t>42-week construction duration</w:t>
      </w:r>
      <w:r>
        <w:t>, achieving Practical Completion on time.</w:t>
      </w:r>
    </w:p>
    <w:p w14:paraId="7460A964" w14:textId="77777777" w:rsidR="00990844" w:rsidRDefault="00000000">
      <w:pPr>
        <w:pStyle w:val="BodyText"/>
      </w:pPr>
      <w:r>
        <w:t>To mitigate current industry supply chain risks, we have adopted an accelerated procurement strategy. Upon contract award, we will immediately procure long-lead items, including the structural steel portal frame and Lysaght roofing. This front-end loading of procurement eliminates critical path delays and ensures materials are on the ground before they are required for installation.</w:t>
      </w:r>
    </w:p>
    <w:p w14:paraId="3B4F5492" w14:textId="77777777" w:rsidR="00990844" w:rsidRDefault="00000000">
      <w:pPr>
        <w:pStyle w:val="Heading3"/>
      </w:pPr>
      <w:bookmarkStart w:id="10" w:name="_Toc218961915"/>
      <w:bookmarkStart w:id="11" w:name="Xae9fb28c7ac99de185cb846a0cbfbaf8667f620"/>
      <w:bookmarkEnd w:id="9"/>
      <w:r>
        <w:lastRenderedPageBreak/>
        <w:t>5. Local Industry Participation and Social Value</w:t>
      </w:r>
      <w:bookmarkEnd w:id="10"/>
    </w:p>
    <w:p w14:paraId="6D6C3D87" w14:textId="77777777" w:rsidR="00990844" w:rsidRDefault="00000000">
      <w:pPr>
        <w:pStyle w:val="FirstParagraph"/>
      </w:pPr>
      <w:r>
        <w:t xml:space="preserve">We are committed to ensuring the Council’s investment stays within the local economy. Our tender includes a measurable target to direct </w:t>
      </w:r>
      <w:r>
        <w:rPr>
          <w:b/>
          <w:bCs/>
        </w:rPr>
        <w:t>40% of the total contract value</w:t>
      </w:r>
      <w:r>
        <w:t xml:space="preserve"> to businesses within a 50km radius of Green Valley.</w:t>
      </w:r>
    </w:p>
    <w:p w14:paraId="6C8151BC" w14:textId="77777777" w:rsidR="00990844" w:rsidRDefault="00000000">
      <w:pPr>
        <w:pStyle w:val="Compact"/>
        <w:numPr>
          <w:ilvl w:val="0"/>
          <w:numId w:val="32"/>
        </w:numPr>
      </w:pPr>
      <w:r>
        <w:rPr>
          <w:b/>
          <w:bCs/>
        </w:rPr>
        <w:t>SME Engagement:</w:t>
      </w:r>
      <w:r>
        <w:t xml:space="preserve"> We have unbundled trade packages (e.g., landscaping, painting) to allow local Small to Medium Enterprises to tender competitively.</w:t>
      </w:r>
    </w:p>
    <w:p w14:paraId="38299681" w14:textId="77777777" w:rsidR="00990844" w:rsidRDefault="00000000">
      <w:pPr>
        <w:pStyle w:val="Compact"/>
        <w:numPr>
          <w:ilvl w:val="0"/>
          <w:numId w:val="32"/>
        </w:numPr>
      </w:pPr>
      <w:r>
        <w:rPr>
          <w:b/>
          <w:bCs/>
        </w:rPr>
        <w:t>Indigenous Participation:</w:t>
      </w:r>
      <w:r>
        <w:t xml:space="preserve"> We will partner with Metro Waste, an Indigenous-owned business, for site waste management.</w:t>
      </w:r>
    </w:p>
    <w:p w14:paraId="2E7F9A6C" w14:textId="77777777" w:rsidR="00990844" w:rsidRDefault="00000000">
      <w:pPr>
        <w:pStyle w:val="Compact"/>
        <w:numPr>
          <w:ilvl w:val="0"/>
          <w:numId w:val="32"/>
        </w:numPr>
      </w:pPr>
      <w:r>
        <w:rPr>
          <w:b/>
          <w:bCs/>
        </w:rPr>
        <w:t>Education:</w:t>
      </w:r>
      <w:r>
        <w:t xml:space="preserve"> We will treat the site as a learning environment, coordinating site walks for local TAFE students to foster the next generation of construction professionals.</w:t>
      </w:r>
    </w:p>
    <w:p w14:paraId="7053E69E" w14:textId="77777777" w:rsidR="00990844" w:rsidRDefault="00000000">
      <w:pPr>
        <w:pStyle w:val="Heading3"/>
      </w:pPr>
      <w:bookmarkStart w:id="12" w:name="_Toc218961916"/>
      <w:bookmarkStart w:id="13" w:name="the-project-team"/>
      <w:bookmarkEnd w:id="11"/>
      <w:r>
        <w:t>6. The Project Team</w:t>
      </w:r>
      <w:bookmarkEnd w:id="12"/>
    </w:p>
    <w:p w14:paraId="61523C5E" w14:textId="77777777" w:rsidR="00775C9B" w:rsidRDefault="00000000">
      <w:pPr>
        <w:pStyle w:val="FirstParagraph"/>
      </w:pPr>
      <w:r>
        <w:t>The Council will be supported by a dedicated team with a shared history of successful delivery.</w:t>
      </w:r>
    </w:p>
    <w:p w14:paraId="4B9BB465" w14:textId="77777777" w:rsidR="00775C9B" w:rsidRDefault="00000000">
      <w:pPr>
        <w:pStyle w:val="FirstParagraph"/>
      </w:pPr>
      <w:r>
        <w:rPr>
          <w:b/>
          <w:bCs/>
        </w:rPr>
        <w:t>David Wu (Project Manager):</w:t>
      </w:r>
      <w:r>
        <w:t xml:space="preserve"> Specialises in live environment infrastructure and will manage the daily interface with the Library Manager.</w:t>
      </w:r>
    </w:p>
    <w:p w14:paraId="7A0488B3" w14:textId="77777777" w:rsidR="00775C9B" w:rsidRDefault="00000000">
      <w:pPr>
        <w:pStyle w:val="FirstParagraph"/>
      </w:pPr>
      <w:r>
        <w:rPr>
          <w:b/>
          <w:bCs/>
        </w:rPr>
        <w:t>Liam Byrne (Site Foreman):</w:t>
      </w:r>
      <w:r>
        <w:t xml:space="preserve"> A licensed plumber with 18 years of experience, ensuring complex services and kitchen </w:t>
      </w:r>
      <w:proofErr w:type="spellStart"/>
      <w:r>
        <w:t>fitouts</w:t>
      </w:r>
      <w:proofErr w:type="spellEnd"/>
      <w:r>
        <w:t xml:space="preserve"> are executed flawlessly.</w:t>
      </w:r>
    </w:p>
    <w:p w14:paraId="5DC31CE1" w14:textId="365BC796" w:rsidR="00990844" w:rsidRDefault="00000000">
      <w:pPr>
        <w:pStyle w:val="FirstParagraph"/>
      </w:pPr>
      <w:r>
        <w:rPr>
          <w:b/>
          <w:bCs/>
        </w:rPr>
        <w:t>Jessica Alcott (WHS Officer):</w:t>
      </w:r>
      <w:r>
        <w:t xml:space="preserve"> A former Registered Nurse whose clinical background drives our rigorous injury prevention and hazardous materials management strategies.</w:t>
      </w:r>
    </w:p>
    <w:p w14:paraId="2137C9B8" w14:textId="77777777" w:rsidR="00990844" w:rsidRDefault="00000000">
      <w:pPr>
        <w:pStyle w:val="Heading3"/>
      </w:pPr>
      <w:bookmarkStart w:id="14" w:name="_Toc218961917"/>
      <w:bookmarkStart w:id="15" w:name="conclusion"/>
      <w:bookmarkEnd w:id="13"/>
      <w:r>
        <w:t>7. Conclusion</w:t>
      </w:r>
      <w:bookmarkEnd w:id="14"/>
    </w:p>
    <w:p w14:paraId="7442537C" w14:textId="77777777" w:rsidR="00990844" w:rsidRDefault="00000000">
      <w:pPr>
        <w:pStyle w:val="FirstParagraph"/>
      </w:pPr>
      <w:r>
        <w:t>Apex Horizon Constructions presents this offer as a complete solution to the Green Valley Regional Council’s requirements. We offer a price that delivers value, a program that delivers certainty, and a team that delivers quality.</w:t>
      </w:r>
    </w:p>
    <w:p w14:paraId="2F89AC5E" w14:textId="77777777" w:rsidR="00990844" w:rsidRDefault="00000000">
      <w:pPr>
        <w:pStyle w:val="BodyText"/>
      </w:pPr>
      <w:r>
        <w:t>We confirm our readiness to mobilise immediately upon acceptance of this tender and look forward to the opportunity to partner with the Council to deliver this landmark community asset.</w:t>
      </w:r>
    </w:p>
    <w:p w14:paraId="4FA6506A" w14:textId="77777777" w:rsidR="00990844" w:rsidRDefault="00000000">
      <w:pPr>
        <w:pStyle w:val="BodyText"/>
      </w:pPr>
      <w:r>
        <w:rPr>
          <w:b/>
          <w:bCs/>
        </w:rPr>
        <w:t>Signed,</w:t>
      </w:r>
    </w:p>
    <w:p w14:paraId="3A67CA2D" w14:textId="77777777" w:rsidR="00990844" w:rsidRDefault="00000000">
      <w:pPr>
        <w:pStyle w:val="BodyText"/>
      </w:pPr>
      <w:r>
        <w:rPr>
          <w:b/>
          <w:bCs/>
        </w:rPr>
        <w:t>James Sterling</w:t>
      </w:r>
      <w:r>
        <w:br/>
        <w:t>Managing Director</w:t>
      </w:r>
      <w:r>
        <w:br/>
        <w:t>Apex Horizon Constructions</w:t>
      </w:r>
    </w:p>
    <w:bookmarkEnd w:id="1"/>
    <w:bookmarkEnd w:id="15"/>
    <w:p w14:paraId="3AC3E7C1" w14:textId="77777777" w:rsidR="00CF10B2" w:rsidRDefault="00CF10B2" w:rsidP="00CF10B2"/>
    <w:p w14:paraId="089EB4ED" w14:textId="77777777" w:rsidR="00220828" w:rsidRDefault="00220828" w:rsidP="00CF10B2">
      <w:r w:rsidRPr="00220828">
        <w:rPr>
          <w:highlight w:val="yellow"/>
        </w:rPr>
        <w:t>[SIGNATURE]</w:t>
      </w:r>
    </w:p>
    <w:p w14:paraId="4B8FAB75" w14:textId="77777777" w:rsidR="00966E59" w:rsidRDefault="009E5D41" w:rsidP="00964C5A">
      <w:pPr>
        <w:sectPr w:rsidR="00966E59" w:rsidSect="00686518">
          <w:footerReference w:type="default" r:id="rId10"/>
          <w:pgSz w:w="11906" w:h="16838"/>
          <w:pgMar w:top="1361" w:right="964" w:bottom="1134" w:left="964" w:header="709" w:footer="567" w:gutter="0"/>
          <w:pgNumType w:start="1"/>
          <w:cols w:space="708"/>
          <w:docGrid w:linePitch="360"/>
        </w:sectPr>
      </w:pPr>
      <w:r w:rsidRPr="000E6F08">
        <w:rPr>
          <w:color w:val="FF0000"/>
          <w:highlight w:val="yellow"/>
        </w:rPr>
        <w:t>[NAME OF AUTHOR]</w:t>
      </w:r>
      <w:r w:rsidRPr="000E6F08">
        <w:rPr>
          <w:color w:val="FF0000"/>
          <w:highlight w:val="yellow"/>
        </w:rPr>
        <w:br/>
        <w:t>[ROLE, GROUP]</w:t>
      </w:r>
      <w:r>
        <w:rPr>
          <w:color w:val="FF0000"/>
        </w:rPr>
        <w:br/>
        <w:t xml:space="preserve">t: </w:t>
      </w:r>
      <w:r w:rsidRPr="000E6F08">
        <w:rPr>
          <w:highlight w:val="yellow"/>
        </w:rPr>
        <w:t>[telephone]</w:t>
      </w:r>
      <w:r>
        <w:rPr>
          <w:color w:val="FF0000"/>
        </w:rPr>
        <w:br/>
        <w:t xml:space="preserve">e: </w:t>
      </w:r>
      <w:r w:rsidRPr="000E6F08">
        <w:rPr>
          <w:highlight w:val="yellow"/>
        </w:rPr>
        <w:t>[emai</w:t>
      </w:r>
      <w:r w:rsidR="00964C5A" w:rsidRPr="000E6F08">
        <w:rPr>
          <w:highlight w:val="yellow"/>
        </w:rPr>
        <w:t>l]</w:t>
      </w:r>
    </w:p>
    <w:p w14:paraId="193CD0F0" w14:textId="77777777" w:rsidR="00966E59" w:rsidRDefault="00000000" w:rsidP="001D0178">
      <w:pPr>
        <w:pStyle w:val="Heading1"/>
      </w:pPr>
      <w:bookmarkStart w:id="16" w:name="_Toc218961919"/>
      <w:bookmarkStart w:id="17" w:name="volume-1-commercial-offer"/>
      <w:r>
        <w:lastRenderedPageBreak/>
        <w:t>Volume 1: Commercial Offer</w:t>
      </w:r>
      <w:bookmarkEnd w:id="16"/>
    </w:p>
    <w:p w14:paraId="4D285842" w14:textId="77777777" w:rsidR="00990844" w:rsidRDefault="00000000">
      <w:pPr>
        <w:pStyle w:val="FirstParagraph"/>
      </w:pPr>
      <w:r>
        <w:t>Apex Horizon Constructions is proud to present Volume 1 of our tender submission for the Green Valley Civic Centre Upgrade (RFT-2026-042). This submission represents a comprehensive, compliant, and commercially robust offer that aligns with the strategic objectives of Green Valley Regional Council. We understand that this project is not merely a construction contract but a critical initiative to enhance community infrastructure, and our commercial offer reflects a commitment to delivering value, certainty, and transparency.</w:t>
      </w:r>
    </w:p>
    <w:p w14:paraId="1FCECA59" w14:textId="77777777" w:rsidR="00990844" w:rsidRDefault="00000000">
      <w:pPr>
        <w:pStyle w:val="BodyText"/>
      </w:pPr>
      <w:r>
        <w:t>Included within this volume are our fixed lump sum Pricing Schedules, current Certificates of Currency for all requisite insurances, and detailed evidence of our Financial Capacity. Collectively, these documents demonstrate our full compliance with the Council’s tender requirements and our readiness to proceed immediately upon contract award.</w:t>
      </w:r>
    </w:p>
    <w:p w14:paraId="5B358129" w14:textId="77777777" w:rsidR="00990844" w:rsidRDefault="00000000">
      <w:pPr>
        <w:pStyle w:val="Heading2"/>
      </w:pPr>
      <w:bookmarkStart w:id="18" w:name="_Toc218961920"/>
      <w:bookmarkStart w:id="19" w:name="schedule-1-tender-form"/>
      <w:r>
        <w:t>Schedule 1: Tender Form</w:t>
      </w:r>
      <w:bookmarkEnd w:id="18"/>
    </w:p>
    <w:p w14:paraId="2EA8F104" w14:textId="77777777" w:rsidR="00990844" w:rsidRDefault="00000000">
      <w:pPr>
        <w:pStyle w:val="FirstParagraph"/>
      </w:pPr>
      <w:r>
        <w:t>Apex Horizon Constructions confirms that we have fully completed, signed, and executed the attached Schedule 1: Tender Form in accordance with the Request for Tender conditions. We acknowledge and accept the contract terms provided by Green Valley Regional Council and confirm that our submission is free of non-conformances or qualifications that would alter the risk profile for the Council.</w:t>
      </w:r>
    </w:p>
    <w:p w14:paraId="2232E83E" w14:textId="77777777" w:rsidR="00990844" w:rsidRDefault="00000000">
      <w:pPr>
        <w:pStyle w:val="BodyText"/>
      </w:pPr>
      <w:r>
        <w:t>Our Total Lump Sum Offer has been calculated with precision to encompass all costs associated with the Green Valley Civic Centre Upgrade and Community Hub Extension. This includes all direct construction costs, preliminaries, overheads, and margins necessary to ensure the complete delivery of the specified Scope of Works. We provide the Council with cost certainty, ensuring that the project can be delivered within the allocated budget without the risk of undefined variations.</w:t>
      </w:r>
    </w:p>
    <w:p w14:paraId="1604586F" w14:textId="77777777" w:rsidR="00990844" w:rsidRDefault="00000000">
      <w:pPr>
        <w:pStyle w:val="Heading2"/>
      </w:pPr>
      <w:bookmarkStart w:id="20" w:name="_Toc218961921"/>
      <w:bookmarkStart w:id="21" w:name="schedule-3-pricing-breakdown"/>
      <w:bookmarkEnd w:id="19"/>
      <w:r>
        <w:t>Schedule 3: Pricing Breakdown</w:t>
      </w:r>
      <w:bookmarkEnd w:id="20"/>
    </w:p>
    <w:p w14:paraId="3FC15FDC" w14:textId="77777777" w:rsidR="00990844" w:rsidRDefault="00000000">
      <w:pPr>
        <w:pStyle w:val="FirstParagraph"/>
      </w:pPr>
      <w:r>
        <w:t>Transparency in pricing is fundamental to our commercial approach. We present our simplified pricing breakdown below, which adheres strictly to the formatting and categorization requirements of Schedule 3. This fixed lump sum offer is directly aligned with the detailed Bill of Quantities (BOQ) attached separately to this submission.</w:t>
      </w:r>
    </w:p>
    <w:p w14:paraId="788743F9" w14:textId="77777777" w:rsidR="00990844" w:rsidRDefault="00000000">
      <w:pPr>
        <w:pStyle w:val="BodyText"/>
      </w:pPr>
      <w:r>
        <w:t>By providing this granular level of detail, we enable the Council’s quantity surveyors to validate our scope coverage and confirm that our pricing is both competitive and realistic. This approach ensures that all elements of the Green Valley Civic Centre Upgrade are accounted for, mitigating commercial risk during the delivery phase.</w:t>
      </w:r>
    </w:p>
    <w:p w14:paraId="7847AB7A" w14:textId="77777777" w:rsidR="00990844" w:rsidRDefault="00000000">
      <w:pPr>
        <w:pStyle w:val="Heading3"/>
      </w:pPr>
      <w:bookmarkStart w:id="22" w:name="_Toc218961922"/>
      <w:bookmarkStart w:id="23" w:name="simplified-breakdown"/>
      <w:r>
        <w:t>Simplified Breakdown</w:t>
      </w:r>
      <w:bookmarkEnd w:id="22"/>
    </w:p>
    <w:p w14:paraId="708A699E" w14:textId="77777777" w:rsidR="00990844" w:rsidRDefault="00000000">
      <w:pPr>
        <w:pStyle w:val="FirstParagraph"/>
      </w:pPr>
      <w:r>
        <w:t>We have allocated costs across all 13 required categories specified in the tender documents, ensuring comprehensive scope coverage. Our estimation team has reviewed the architectural and engineering documentation to ensure every component is captured.</w:t>
      </w:r>
    </w:p>
    <w:p w14:paraId="0902CDCF" w14:textId="77777777" w:rsidR="00990844" w:rsidRDefault="00000000">
      <w:pPr>
        <w:pStyle w:val="BodyText"/>
      </w:pPr>
      <w:r>
        <w:t>Our fixed lump sum includes specific, ring-fenced provisions for high-risk elements, including Demolition and Hazardous Materials removal. Furthermore, we have made extensive allowances for External Works and Landscaping to ensure the final finish matches the high expectations of the community. This holistic pricing strategy guarantees a fully compliant delivery of the Civic Centre Upgrade and Community Hub Extension, leaving no ambiguity regarding scope ownership.</w:t>
      </w:r>
    </w:p>
    <w:p w14:paraId="4B9E37F8" w14:textId="77777777" w:rsidR="00990844" w:rsidRDefault="00000000">
      <w:pPr>
        <w:pStyle w:val="Heading3"/>
      </w:pPr>
      <w:bookmarkStart w:id="24" w:name="_Toc218961923"/>
      <w:bookmarkStart w:id="25" w:name="detailed-bill-of-quantities"/>
      <w:bookmarkEnd w:id="23"/>
      <w:r>
        <w:t>Detailed Bill of Quantities</w:t>
      </w:r>
      <w:bookmarkEnd w:id="24"/>
    </w:p>
    <w:p w14:paraId="0FD600A9" w14:textId="77777777" w:rsidR="00990844" w:rsidRDefault="00000000">
      <w:pPr>
        <w:pStyle w:val="FirstParagraph"/>
      </w:pPr>
      <w:r>
        <w:t>To support our Lump Sum Offer, we have provided a detailed Bill of Quantities. This document serves as the commercial roadmap for the project, allowing for efficient progress claim assessments and variation management if required.</w:t>
      </w:r>
    </w:p>
    <w:tbl>
      <w:tblPr>
        <w:tblStyle w:val="Table"/>
        <w:tblW w:w="5000" w:type="pct"/>
        <w:tblLayout w:type="fixed"/>
        <w:tblLook w:val="0020" w:firstRow="1" w:lastRow="0" w:firstColumn="0" w:lastColumn="0" w:noHBand="0" w:noVBand="0"/>
      </w:tblPr>
      <w:tblGrid>
        <w:gridCol w:w="3326"/>
        <w:gridCol w:w="3326"/>
        <w:gridCol w:w="3326"/>
      </w:tblGrid>
      <w:tr w:rsidR="00990844" w14:paraId="7D6EF24D" w14:textId="77777777" w:rsidTr="00990844">
        <w:trPr>
          <w:cnfStyle w:val="100000000000" w:firstRow="1" w:lastRow="0" w:firstColumn="0" w:lastColumn="0" w:oddVBand="0" w:evenVBand="0" w:oddHBand="0" w:evenHBand="0" w:firstRowFirstColumn="0" w:firstRowLastColumn="0" w:lastRowFirstColumn="0" w:lastRowLastColumn="0"/>
          <w:tblHeader/>
        </w:trPr>
        <w:tc>
          <w:tcPr>
            <w:tcW w:w="2640" w:type="dxa"/>
          </w:tcPr>
          <w:p w14:paraId="1FE40586" w14:textId="77777777" w:rsidR="00990844" w:rsidRDefault="00000000">
            <w:pPr>
              <w:pStyle w:val="Compact"/>
            </w:pPr>
            <w:r>
              <w:t>Document Reference</w:t>
            </w:r>
          </w:p>
        </w:tc>
        <w:tc>
          <w:tcPr>
            <w:tcW w:w="2640" w:type="dxa"/>
          </w:tcPr>
          <w:p w14:paraId="09B4AD04" w14:textId="77777777" w:rsidR="00990844" w:rsidRDefault="00000000">
            <w:pPr>
              <w:pStyle w:val="Compact"/>
            </w:pPr>
            <w:r>
              <w:t>Description</w:t>
            </w:r>
          </w:p>
        </w:tc>
        <w:tc>
          <w:tcPr>
            <w:tcW w:w="2640" w:type="dxa"/>
          </w:tcPr>
          <w:p w14:paraId="735E22EE" w14:textId="77777777" w:rsidR="00990844" w:rsidRDefault="00000000">
            <w:pPr>
              <w:pStyle w:val="Compact"/>
            </w:pPr>
            <w:r>
              <w:t>Measurement Standard</w:t>
            </w:r>
          </w:p>
        </w:tc>
      </w:tr>
      <w:tr w:rsidR="00990844" w14:paraId="2A087061" w14:textId="77777777">
        <w:tc>
          <w:tcPr>
            <w:tcW w:w="2640" w:type="dxa"/>
          </w:tcPr>
          <w:p w14:paraId="24527F44" w14:textId="77777777" w:rsidR="00990844" w:rsidRDefault="00000000">
            <w:pPr>
              <w:pStyle w:val="Compact"/>
            </w:pPr>
            <w:r>
              <w:rPr>
                <w:b/>
                <w:bCs/>
              </w:rPr>
              <w:t>Attachment 3.1</w:t>
            </w:r>
          </w:p>
        </w:tc>
        <w:tc>
          <w:tcPr>
            <w:tcW w:w="2640" w:type="dxa"/>
          </w:tcPr>
          <w:p w14:paraId="0BE920F5" w14:textId="77777777" w:rsidR="00990844" w:rsidRDefault="00000000">
            <w:pPr>
              <w:pStyle w:val="Compact"/>
            </w:pPr>
            <w:r>
              <w:t>Detailed Bill of Quantities (BOQ)</w:t>
            </w:r>
          </w:p>
        </w:tc>
        <w:tc>
          <w:tcPr>
            <w:tcW w:w="2640" w:type="dxa"/>
          </w:tcPr>
          <w:p w14:paraId="09A214E6" w14:textId="77777777" w:rsidR="00990844" w:rsidRDefault="00000000">
            <w:pPr>
              <w:pStyle w:val="Compact"/>
            </w:pPr>
            <w:r>
              <w:t>Australian Standard Method of Measurement (ASMM)</w:t>
            </w:r>
          </w:p>
        </w:tc>
      </w:tr>
      <w:tr w:rsidR="00990844" w14:paraId="723250DE" w14:textId="77777777">
        <w:tc>
          <w:tcPr>
            <w:tcW w:w="2640" w:type="dxa"/>
          </w:tcPr>
          <w:p w14:paraId="20CC1541" w14:textId="77777777" w:rsidR="00990844" w:rsidRDefault="00000000">
            <w:pPr>
              <w:pStyle w:val="Compact"/>
            </w:pPr>
            <w:r>
              <w:rPr>
                <w:b/>
                <w:bCs/>
              </w:rPr>
              <w:t>Format</w:t>
            </w:r>
          </w:p>
        </w:tc>
        <w:tc>
          <w:tcPr>
            <w:tcW w:w="2640" w:type="dxa"/>
          </w:tcPr>
          <w:p w14:paraId="50581430" w14:textId="77777777" w:rsidR="00990844" w:rsidRDefault="00000000">
            <w:pPr>
              <w:pStyle w:val="Compact"/>
            </w:pPr>
            <w:r>
              <w:t>Comprehensive Itemised Breakdown</w:t>
            </w:r>
          </w:p>
        </w:tc>
        <w:tc>
          <w:tcPr>
            <w:tcW w:w="2640" w:type="dxa"/>
          </w:tcPr>
          <w:p w14:paraId="5E0B4A68" w14:textId="77777777" w:rsidR="00990844" w:rsidRDefault="00000000">
            <w:pPr>
              <w:pStyle w:val="Compact"/>
            </w:pPr>
            <w:r>
              <w:t>Standard Industry Practice</w:t>
            </w:r>
          </w:p>
        </w:tc>
      </w:tr>
    </w:tbl>
    <w:p w14:paraId="0F5553BB" w14:textId="77777777" w:rsidR="00990844" w:rsidRDefault="00000000">
      <w:pPr>
        <w:pStyle w:val="Heading2"/>
      </w:pPr>
      <w:bookmarkStart w:id="26" w:name="_Toc218961924"/>
      <w:bookmarkStart w:id="27" w:name="mandatory-requirements"/>
      <w:bookmarkEnd w:id="21"/>
      <w:bookmarkEnd w:id="25"/>
      <w:r>
        <w:lastRenderedPageBreak/>
        <w:t>Mandatory Requirements</w:t>
      </w:r>
      <w:bookmarkEnd w:id="26"/>
    </w:p>
    <w:p w14:paraId="5779E2CE" w14:textId="77777777" w:rsidR="00990844" w:rsidRDefault="00000000">
      <w:pPr>
        <w:pStyle w:val="FirstParagraph"/>
      </w:pPr>
      <w:r>
        <w:t>Apex Horizon Constructions fully complies with all Mandatory Requirements outlined in Section 4 of the Request for Tender. We view these requirements not as tick-box exercises, but as essential indicators of a contractor’s ability to deliver legally and safely.</w:t>
      </w:r>
    </w:p>
    <w:p w14:paraId="79FEE9AD" w14:textId="77777777" w:rsidR="00990844" w:rsidRDefault="00000000">
      <w:pPr>
        <w:pStyle w:val="BodyText"/>
      </w:pPr>
      <w:r>
        <w:t>We currently hold a valid Open Class Licence (109283C), maintain $20 million in Public Liability Insurance, and hold full Workers Compensation coverage. Furthermore, we confirm there is no active litigation against the company, and we verify our attendance at the mandatory site inspection on 20 January 2026. Detailed evidence of these compliances is provided in the subsequent sections.</w:t>
      </w:r>
    </w:p>
    <w:p w14:paraId="435780D1" w14:textId="77777777" w:rsidR="00990844" w:rsidRDefault="00000000">
      <w:pPr>
        <w:pStyle w:val="Heading3"/>
      </w:pPr>
      <w:bookmarkStart w:id="28" w:name="_Toc218961925"/>
      <w:bookmarkStart w:id="29" w:name="building-licence"/>
      <w:r>
        <w:t>Building Licence</w:t>
      </w:r>
      <w:bookmarkEnd w:id="28"/>
    </w:p>
    <w:p w14:paraId="0EF5AC38" w14:textId="77777777" w:rsidR="00990844" w:rsidRDefault="00000000">
      <w:pPr>
        <w:pStyle w:val="FirstParagraph"/>
      </w:pPr>
      <w:r>
        <w:t xml:space="preserve">Apex Horizon Constructions holds valid NSW Builders Licence </w:t>
      </w:r>
      <w:r>
        <w:rPr>
          <w:b/>
          <w:bCs/>
        </w:rPr>
        <w:t>109283C</w:t>
      </w:r>
      <w:r>
        <w:t xml:space="preserve"> (Open Class). This qualification serves as the primary authorization for our operations and ensures full compliance with Green Valley Regional Council’s mandatory requirements.</w:t>
      </w:r>
    </w:p>
    <w:p w14:paraId="01DC8F1A" w14:textId="77777777" w:rsidR="00990844" w:rsidRDefault="00000000">
      <w:pPr>
        <w:pStyle w:val="BodyText"/>
      </w:pPr>
      <w:r>
        <w:t>Holding an Open Class licence authorizes us to undertake all construction works for the Civic Centre Upgrade without scope or value restrictions. This ensures the Council that we are fully accredited to manage the complexity of the proposed works, from structural alterations to complex services integration.</w:t>
      </w:r>
    </w:p>
    <w:p w14:paraId="056A991D" w14:textId="77777777" w:rsidR="00990844" w:rsidRDefault="00000000">
      <w:pPr>
        <w:pStyle w:val="Heading3"/>
      </w:pPr>
      <w:bookmarkStart w:id="30" w:name="_Toc218961926"/>
      <w:bookmarkStart w:id="31" w:name="public-liability-insurance"/>
      <w:bookmarkEnd w:id="29"/>
      <w:r>
        <w:t>Public Liability Insurance</w:t>
      </w:r>
      <w:bookmarkEnd w:id="30"/>
    </w:p>
    <w:p w14:paraId="658097A5" w14:textId="77777777" w:rsidR="00990844" w:rsidRDefault="00000000">
      <w:pPr>
        <w:pStyle w:val="FirstParagraph"/>
      </w:pPr>
      <w:r>
        <w:t>Risk transfer is a critical component of our commercial offer. Apex Horizon Constructions maintains Public Liability Insurance of $20,000,000, which satisfies and meets the Council’s minimum requirement.</w:t>
      </w:r>
    </w:p>
    <w:p w14:paraId="114688ED" w14:textId="77777777" w:rsidR="00990844" w:rsidRDefault="00000000">
      <w:pPr>
        <w:pStyle w:val="BodyText"/>
      </w:pPr>
      <w:r>
        <w:t>This policy (No: PL-998877) ensures comprehensive coverage for all site operations, third-party property damage, and public injury risks. Given the project’s proximity to the operational library and the general public, this level of coverage provides the Council with essential financial protection. A current Certificate of Currency is attached to this submission for verification.</w:t>
      </w:r>
    </w:p>
    <w:p w14:paraId="59FF972E" w14:textId="77777777" w:rsidR="00990844" w:rsidRDefault="00000000">
      <w:pPr>
        <w:pStyle w:val="Heading3"/>
      </w:pPr>
      <w:bookmarkStart w:id="32" w:name="_Toc218961927"/>
      <w:bookmarkStart w:id="33" w:name="workers-compensation-insurance"/>
      <w:bookmarkEnd w:id="31"/>
      <w:r>
        <w:t>Workers Compensation Insurance</w:t>
      </w:r>
      <w:bookmarkEnd w:id="32"/>
    </w:p>
    <w:p w14:paraId="3D57AA8F" w14:textId="77777777" w:rsidR="00990844" w:rsidRDefault="00000000">
      <w:pPr>
        <w:pStyle w:val="FirstParagraph"/>
      </w:pPr>
      <w:r>
        <w:t>The safety and welfare of our workforce are paramount. Apex Horizon maintains full Statutory Workers Compensation Insurance (Policy No: WC-112233).</w:t>
      </w:r>
    </w:p>
    <w:p w14:paraId="67370A89" w14:textId="77777777" w:rsidR="00990844" w:rsidRDefault="00000000">
      <w:pPr>
        <w:pStyle w:val="BodyText"/>
      </w:pPr>
      <w:r>
        <w:t>This policy extends to all employees engaged on the Green Valley Civic Centre Refurbishment and Community Hub Expansion. It ensures complete compliance with NSW legislative requirements and guarantees that our workforce is protected against injury or illness arising from their employment.</w:t>
      </w:r>
    </w:p>
    <w:p w14:paraId="459C1AC3" w14:textId="77777777" w:rsidR="00990844" w:rsidRDefault="00000000">
      <w:pPr>
        <w:pStyle w:val="Heading3"/>
      </w:pPr>
      <w:bookmarkStart w:id="34" w:name="_Toc218961928"/>
      <w:bookmarkStart w:id="35" w:name="litigation-and-insolvency-statement"/>
      <w:bookmarkEnd w:id="33"/>
      <w:r>
        <w:t>Litigation and Insolvency Statement</w:t>
      </w:r>
      <w:bookmarkEnd w:id="34"/>
    </w:p>
    <w:p w14:paraId="10BB8163" w14:textId="77777777" w:rsidR="00990844" w:rsidRDefault="00000000">
      <w:pPr>
        <w:pStyle w:val="FirstParagraph"/>
      </w:pPr>
      <w:r>
        <w:t>Apex Horizon Constructions confirms that we are not involved in any active litigation, arbitration, or insolvency proceedings. In an industry where disputes can often derail project delivery, our clean legal record stands as a testament to our collaborative and fair contracting approach.</w:t>
      </w:r>
    </w:p>
    <w:p w14:paraId="045F5E94" w14:textId="77777777" w:rsidR="00990844" w:rsidRDefault="00000000">
      <w:pPr>
        <w:pStyle w:val="BodyText"/>
      </w:pPr>
      <w:r>
        <w:t>We maintain a robust financial position with zero debt, net assets of $12 million, and a $30 million bonding facility. This financial health guarantees stability for the Green Valley Civic Centre project, ensuring that we will remain a viable partner through to completion and beyond into the warranty period.</w:t>
      </w:r>
    </w:p>
    <w:p w14:paraId="59BBFC4D" w14:textId="77777777" w:rsidR="00990844" w:rsidRDefault="00000000">
      <w:pPr>
        <w:pStyle w:val="Heading3"/>
      </w:pPr>
      <w:bookmarkStart w:id="36" w:name="_Toc218961929"/>
      <w:bookmarkStart w:id="37" w:name="site-inspection-confirmation"/>
      <w:bookmarkEnd w:id="35"/>
      <w:r>
        <w:t>Site Inspection Confirmation</w:t>
      </w:r>
      <w:bookmarkEnd w:id="36"/>
    </w:p>
    <w:p w14:paraId="1BCAFA14" w14:textId="77777777" w:rsidR="00990844" w:rsidRDefault="00000000">
      <w:pPr>
        <w:pStyle w:val="FirstParagraph"/>
      </w:pPr>
      <w:r>
        <w:t>Apex Horizon Constructions confirms that our Project Director, Michael O’Connor, attended the mandatory site inspection on 20 January 2026. This attendance was critical to our tender preparation.</w:t>
      </w:r>
    </w:p>
    <w:p w14:paraId="54E89E84" w14:textId="77777777" w:rsidR="00990844" w:rsidRDefault="00000000">
      <w:pPr>
        <w:pStyle w:val="BodyText"/>
      </w:pPr>
      <w:r>
        <w:t>We have integrated our site-specific findings—including access constraints, proximity to the “Old Oak,” and the interface with the library—directly into this proposal. Our methodology is not generic; it is a tailored response that fully addresses the Green Valley Civic Centre constraints and requirements identified during this inspection.</w:t>
      </w:r>
    </w:p>
    <w:p w14:paraId="7B161234" w14:textId="77777777" w:rsidR="00990844" w:rsidRDefault="00000000">
      <w:pPr>
        <w:pStyle w:val="Heading2"/>
      </w:pPr>
      <w:bookmarkStart w:id="38" w:name="_Toc218961930"/>
      <w:bookmarkStart w:id="39" w:name="financial-capacity"/>
      <w:bookmarkEnd w:id="27"/>
      <w:bookmarkEnd w:id="37"/>
      <w:r>
        <w:lastRenderedPageBreak/>
        <w:t>Financial Capacity</w:t>
      </w:r>
      <w:bookmarkEnd w:id="38"/>
    </w:p>
    <w:p w14:paraId="18C55672" w14:textId="77777777" w:rsidR="00990844" w:rsidRDefault="00000000">
      <w:pPr>
        <w:pStyle w:val="FirstParagraph"/>
      </w:pPr>
      <w:r>
        <w:t>Apex Horizon Constructions offers Green Valley Regional Council a secure, low-risk financial profile underpinned by a strong balance sheet and consistent growth. In the current construction climate, financial stability is as critical as technical capability.</w:t>
      </w:r>
    </w:p>
    <w:p w14:paraId="65920923" w14:textId="77777777" w:rsidR="00990844" w:rsidRDefault="00000000">
      <w:pPr>
        <w:pStyle w:val="BodyText"/>
      </w:pPr>
      <w:r>
        <w:t>With an annual turnover of $65 Million (FY2025) and net assets of $12 Million, we possess the substantial working capital required to fund the Green Valley Civic Centre Upgrade effectively. We do not rely on front-loaded claims to fund operations. Our financial stability allows us to manage project cash flow independently, ensuring uninterrupted procurement of materials and timely payments to our local subcontractors. This financial discipline protects the Council from supply chain disruptions, liens, and project delays.</w:t>
      </w:r>
    </w:p>
    <w:p w14:paraId="2E75669F" w14:textId="77777777" w:rsidR="00990844" w:rsidRDefault="00000000">
      <w:pPr>
        <w:pStyle w:val="BodyText"/>
      </w:pPr>
      <w:r>
        <w:rPr>
          <w:b/>
          <w:bCs/>
        </w:rPr>
        <w:t>Key Financial Metrics:</w:t>
      </w:r>
    </w:p>
    <w:p w14:paraId="68EEB29B" w14:textId="77777777" w:rsidR="00990844" w:rsidRDefault="00000000">
      <w:pPr>
        <w:pStyle w:val="Compact"/>
        <w:numPr>
          <w:ilvl w:val="0"/>
          <w:numId w:val="1"/>
        </w:numPr>
      </w:pPr>
      <w:r>
        <w:rPr>
          <w:b/>
          <w:bCs/>
        </w:rPr>
        <w:t>Bank:</w:t>
      </w:r>
      <w:r>
        <w:t xml:space="preserve"> National Australia Bank (NAB)</w:t>
      </w:r>
    </w:p>
    <w:p w14:paraId="2846E423" w14:textId="77777777" w:rsidR="00990844" w:rsidRDefault="00000000">
      <w:pPr>
        <w:pStyle w:val="Compact"/>
        <w:numPr>
          <w:ilvl w:val="0"/>
          <w:numId w:val="1"/>
        </w:numPr>
      </w:pPr>
      <w:r>
        <w:rPr>
          <w:b/>
          <w:bCs/>
        </w:rPr>
        <w:t>Annual Turnover:</w:t>
      </w:r>
      <w:r>
        <w:t xml:space="preserve"> $65 Million (FY2025)</w:t>
      </w:r>
    </w:p>
    <w:p w14:paraId="42AAE7E9" w14:textId="77777777" w:rsidR="00990844" w:rsidRDefault="00000000">
      <w:pPr>
        <w:pStyle w:val="Compact"/>
        <w:numPr>
          <w:ilvl w:val="0"/>
          <w:numId w:val="1"/>
        </w:numPr>
      </w:pPr>
      <w:r>
        <w:rPr>
          <w:b/>
          <w:bCs/>
        </w:rPr>
        <w:t>Bonding Facility:</w:t>
      </w:r>
      <w:r>
        <w:t xml:space="preserve"> $30 Million</w:t>
      </w:r>
    </w:p>
    <w:p w14:paraId="318F9D47" w14:textId="77777777" w:rsidR="00990844" w:rsidRDefault="00000000">
      <w:pPr>
        <w:pStyle w:val="Compact"/>
        <w:numPr>
          <w:ilvl w:val="0"/>
          <w:numId w:val="1"/>
        </w:numPr>
      </w:pPr>
      <w:r>
        <w:rPr>
          <w:b/>
          <w:bCs/>
        </w:rPr>
        <w:t>Debt Position:</w:t>
      </w:r>
      <w:r>
        <w:t xml:space="preserve"> Zero Debt</w:t>
      </w:r>
    </w:p>
    <w:p w14:paraId="6D917924" w14:textId="77777777" w:rsidR="00990844" w:rsidRDefault="00000000">
      <w:pPr>
        <w:pStyle w:val="FirstParagraph"/>
      </w:pPr>
      <w:r>
        <w:t>We maintain a bonding facility of $30 Million with NAB, which provides ample capacity to meet the security requirements for this tender. Apex Horizon confirms we will provide two (2) Unconditional Bank Guarantees, each for 2.5% of the Contract Sum, immediately upon contract award.</w:t>
      </w:r>
    </w:p>
    <w:p w14:paraId="00E15DCE" w14:textId="77777777" w:rsidR="00990844" w:rsidRDefault="00000000">
      <w:pPr>
        <w:pStyle w:val="BodyText"/>
      </w:pPr>
      <w:r>
        <w:t>Our “zero debt” strategy distinguishes us in the mid-tier market. By operating without leveraged debt, we eliminate the insolvency risks often associated with the construction sector. We offer the Council certainty that we have the liquidity to deliver this project through to completion and the Defects Liability Period.</w:t>
      </w:r>
    </w:p>
    <w:p w14:paraId="60D867E6" w14:textId="77777777" w:rsidR="00990844" w:rsidRDefault="00000000">
      <w:pPr>
        <w:pStyle w:val="Heading1"/>
      </w:pPr>
      <w:bookmarkStart w:id="40" w:name="_Toc218961931"/>
      <w:bookmarkStart w:id="41" w:name="volume-2-technical-response"/>
      <w:bookmarkEnd w:id="17"/>
      <w:bookmarkEnd w:id="39"/>
      <w:r>
        <w:t>Volume 2: Technical Response</w:t>
      </w:r>
      <w:bookmarkEnd w:id="40"/>
    </w:p>
    <w:p w14:paraId="6916C802" w14:textId="77777777" w:rsidR="00990844" w:rsidRDefault="00000000">
      <w:pPr>
        <w:pStyle w:val="FirstParagraph"/>
      </w:pPr>
      <w:r>
        <w:t>This volume details Apex Horizon Constructions’ technical capability to deliver the Green Valley Civic Centre Upgrade. We have structured this response to address all Non-Price Selection Criteria, providing the Council with confidence in our operational methodology.</w:t>
      </w:r>
    </w:p>
    <w:p w14:paraId="2A03D7C9" w14:textId="77777777" w:rsidR="00990844" w:rsidRDefault="00000000">
      <w:pPr>
        <w:pStyle w:val="BodyText"/>
      </w:pPr>
      <w:r>
        <w:t>Our response covers our Relevant Experience in similar civic projects, a detailed Construction Methodology and Program, profiles of our expert Key Personnel, and our certified WHS and Quality management systems. Together, these elements form a cohesive strategy ensuring operational continuity and successful delivery.</w:t>
      </w:r>
    </w:p>
    <w:p w14:paraId="7079F270" w14:textId="77777777" w:rsidR="00990844" w:rsidRDefault="00000000">
      <w:pPr>
        <w:pStyle w:val="Heading2"/>
      </w:pPr>
      <w:bookmarkStart w:id="42" w:name="_Toc218961932"/>
      <w:bookmarkStart w:id="43" w:name="schedule-2.1-relevant-experience"/>
      <w:r>
        <w:t>Schedule 2.1: Relevant Experience</w:t>
      </w:r>
      <w:bookmarkEnd w:id="42"/>
    </w:p>
    <w:p w14:paraId="1156AA47" w14:textId="77777777" w:rsidR="00990844" w:rsidRDefault="00000000">
      <w:pPr>
        <w:pStyle w:val="FirstParagraph"/>
      </w:pPr>
      <w:r>
        <w:t>We present three targeted case studies: West End Primary School, Highland Medical Centre, and Riverside Library. These projects were selected to demonstrate our capability in Civic Projects exceeding $5M. These contracts confirm our expertise in managing live environments and complex refurbishment and extension works, directly mapping to the Green Valley Civic Centre scope.</w:t>
      </w:r>
    </w:p>
    <w:p w14:paraId="44CF155F" w14:textId="77777777" w:rsidR="00990844" w:rsidRDefault="00000000">
      <w:pPr>
        <w:pStyle w:val="Heading3"/>
      </w:pPr>
      <w:bookmarkStart w:id="44" w:name="_Toc218961933"/>
      <w:bookmarkStart w:id="45" w:name="X2b65b9e7ee9d37c2760c0ed0c88a1cb6b1c540f"/>
      <w:r>
        <w:t>Project 1: Riverside Library &amp; Digital Hub Fitout</w:t>
      </w:r>
      <w:bookmarkEnd w:id="44"/>
    </w:p>
    <w:p w14:paraId="5773C476" w14:textId="77777777" w:rsidR="00990844" w:rsidRDefault="00000000">
      <w:pPr>
        <w:pStyle w:val="Compact"/>
        <w:numPr>
          <w:ilvl w:val="0"/>
          <w:numId w:val="2"/>
        </w:numPr>
      </w:pPr>
      <w:r>
        <w:rPr>
          <w:b/>
          <w:bCs/>
        </w:rPr>
        <w:t>Client:</w:t>
      </w:r>
      <w:r>
        <w:t xml:space="preserve"> Riverside City Council</w:t>
      </w:r>
    </w:p>
    <w:p w14:paraId="0F44D2BD" w14:textId="77777777" w:rsidR="00990844" w:rsidRDefault="00000000">
      <w:pPr>
        <w:pStyle w:val="Compact"/>
        <w:numPr>
          <w:ilvl w:val="0"/>
          <w:numId w:val="2"/>
        </w:numPr>
      </w:pPr>
      <w:r>
        <w:rPr>
          <w:b/>
          <w:bCs/>
        </w:rPr>
        <w:t>Value:</w:t>
      </w:r>
      <w:r>
        <w:t xml:space="preserve"> $4.2 Million</w:t>
      </w:r>
    </w:p>
    <w:p w14:paraId="5E555767" w14:textId="77777777" w:rsidR="00990844" w:rsidRDefault="00000000">
      <w:pPr>
        <w:pStyle w:val="Compact"/>
        <w:numPr>
          <w:ilvl w:val="0"/>
          <w:numId w:val="2"/>
        </w:numPr>
      </w:pPr>
      <w:r>
        <w:rPr>
          <w:b/>
          <w:bCs/>
        </w:rPr>
        <w:t>Completion:</w:t>
      </w:r>
      <w:r>
        <w:t xml:space="preserve"> 30 October 2024</w:t>
      </w:r>
    </w:p>
    <w:p w14:paraId="0B06F3D8" w14:textId="77777777" w:rsidR="00990844" w:rsidRDefault="00000000">
      <w:pPr>
        <w:pStyle w:val="Compact"/>
        <w:numPr>
          <w:ilvl w:val="0"/>
          <w:numId w:val="2"/>
        </w:numPr>
      </w:pPr>
      <w:r>
        <w:rPr>
          <w:b/>
          <w:bCs/>
        </w:rPr>
        <w:t>Reference:</w:t>
      </w:r>
      <w:r>
        <w:t xml:space="preserve"> Marcus Thorn, Director of Infrastructure – 0400 123 456</w:t>
      </w:r>
    </w:p>
    <w:p w14:paraId="24C56EC0" w14:textId="77777777" w:rsidR="00990844" w:rsidRDefault="00000000">
      <w:pPr>
        <w:pStyle w:val="FirstParagraph"/>
      </w:pPr>
      <w:r>
        <w:rPr>
          <w:b/>
          <w:bCs/>
        </w:rPr>
        <w:t>Project Description</w:t>
      </w:r>
    </w:p>
    <w:p w14:paraId="453687F4" w14:textId="77777777" w:rsidR="00990844" w:rsidRDefault="00000000">
      <w:pPr>
        <w:pStyle w:val="BodyText"/>
      </w:pPr>
      <w:r>
        <w:t>Apex Horizon Constructions delivered this complex adaptive reuse project, transforming an existing 1,200m² warehouse into a modern community hub. The facility includes maker spaces, recording studios, and a café, requiring high-specification acoustic treatments (Autex baffling) and the integration of digital infrastructure such as RFID sorting systems and a high-speed fibre backbone. This project highlights our ability to deliver high-quality internal fitouts suitable for public use.</w:t>
      </w:r>
    </w:p>
    <w:p w14:paraId="580A6B10" w14:textId="77777777" w:rsidR="00990844" w:rsidRDefault="00000000">
      <w:pPr>
        <w:pStyle w:val="BodyText"/>
      </w:pPr>
      <w:r>
        <w:rPr>
          <w:b/>
          <w:bCs/>
        </w:rPr>
        <w:t>Relevance to Green Valley Regional Council</w:t>
      </w:r>
    </w:p>
    <w:p w14:paraId="22BA3355" w14:textId="77777777" w:rsidR="00990844" w:rsidRDefault="00000000">
      <w:pPr>
        <w:pStyle w:val="BodyText"/>
      </w:pPr>
      <w:r>
        <w:lastRenderedPageBreak/>
        <w:t>This project demonstrates our ability to deliver “Living Room” style community infrastructure that aligns with Green Valley’s vision. Our management approach ensured successful delivery despite technical and site-specific challenges.</w:t>
      </w:r>
    </w:p>
    <w:p w14:paraId="5C501AA5" w14:textId="77777777" w:rsidR="00990844" w:rsidRDefault="00000000">
      <w:pPr>
        <w:pStyle w:val="Compact"/>
        <w:numPr>
          <w:ilvl w:val="0"/>
          <w:numId w:val="3"/>
        </w:numPr>
      </w:pPr>
      <w:r>
        <w:rPr>
          <w:b/>
          <w:bCs/>
        </w:rPr>
        <w:t>Financial Management:</w:t>
      </w:r>
      <w:r>
        <w:t xml:space="preserve"> We delivered the project under budget, settling the final account at $4.15M. By value engineering the mechanical system without compromising performance, we returned a $50,000 saving to the Council. This evidences our commitment to acting as a responsible steward of public funds.</w:t>
      </w:r>
    </w:p>
    <w:p w14:paraId="081B12D2" w14:textId="77777777" w:rsidR="00990844" w:rsidRDefault="00000000">
      <w:pPr>
        <w:pStyle w:val="Compact"/>
        <w:numPr>
          <w:ilvl w:val="0"/>
          <w:numId w:val="3"/>
        </w:numPr>
      </w:pPr>
      <w:r>
        <w:rPr>
          <w:b/>
          <w:bCs/>
        </w:rPr>
        <w:t>Latent Conditions:</w:t>
      </w:r>
      <w:r>
        <w:t xml:space="preserve"> During excavation for the lift pit, we encountered uncharted sandstone bedrock. We mobilized a specialized rock saw within 24 hours and re-sequenced high-level services rough-in to occur simultaneously, ensuring zero impact on the critical path.</w:t>
      </w:r>
    </w:p>
    <w:p w14:paraId="11ADC4D4" w14:textId="77777777" w:rsidR="00990844" w:rsidRDefault="00000000">
      <w:pPr>
        <w:pStyle w:val="Compact"/>
        <w:numPr>
          <w:ilvl w:val="0"/>
          <w:numId w:val="3"/>
        </w:numPr>
      </w:pPr>
      <w:r>
        <w:rPr>
          <w:b/>
          <w:bCs/>
        </w:rPr>
        <w:t>Early Completion:</w:t>
      </w:r>
      <w:r>
        <w:t xml:space="preserve"> Through an accelerated procurement strategy for long-lead items, including glazing and lift components, we achieved Practical Completion two weeks ahead of the contracted date.</w:t>
      </w:r>
    </w:p>
    <w:p w14:paraId="5264B7E1" w14:textId="77777777" w:rsidR="00990844" w:rsidRDefault="00000000">
      <w:pPr>
        <w:pStyle w:val="Heading3"/>
      </w:pPr>
      <w:bookmarkStart w:id="46" w:name="_Toc218961934"/>
      <w:bookmarkStart w:id="47" w:name="Xacd7fc3ad63339a4afa0293783914f7248b89cd"/>
      <w:bookmarkEnd w:id="45"/>
      <w:r>
        <w:t>Project 2: Highland Medical Centre Redevelopment</w:t>
      </w:r>
      <w:bookmarkEnd w:id="46"/>
    </w:p>
    <w:p w14:paraId="7CEF1BC9" w14:textId="77777777" w:rsidR="00990844" w:rsidRDefault="00000000">
      <w:pPr>
        <w:pStyle w:val="Compact"/>
        <w:numPr>
          <w:ilvl w:val="0"/>
          <w:numId w:val="4"/>
        </w:numPr>
      </w:pPr>
      <w:r>
        <w:rPr>
          <w:b/>
          <w:bCs/>
        </w:rPr>
        <w:t>Client:</w:t>
      </w:r>
      <w:r>
        <w:t xml:space="preserve"> Highland Health District</w:t>
      </w:r>
    </w:p>
    <w:p w14:paraId="7C09E12E" w14:textId="77777777" w:rsidR="00990844" w:rsidRDefault="00000000">
      <w:pPr>
        <w:pStyle w:val="Compact"/>
        <w:numPr>
          <w:ilvl w:val="0"/>
          <w:numId w:val="4"/>
        </w:numPr>
      </w:pPr>
      <w:r>
        <w:rPr>
          <w:b/>
          <w:bCs/>
        </w:rPr>
        <w:t>Value:</w:t>
      </w:r>
      <w:r>
        <w:t xml:space="preserve"> $6.8 Million</w:t>
      </w:r>
    </w:p>
    <w:p w14:paraId="2210A8F5" w14:textId="77777777" w:rsidR="00990844" w:rsidRDefault="00000000">
      <w:pPr>
        <w:pStyle w:val="Compact"/>
        <w:numPr>
          <w:ilvl w:val="0"/>
          <w:numId w:val="4"/>
        </w:numPr>
      </w:pPr>
      <w:r>
        <w:rPr>
          <w:b/>
          <w:bCs/>
        </w:rPr>
        <w:t>Completion:</w:t>
      </w:r>
      <w:r>
        <w:t xml:space="preserve"> 2023</w:t>
      </w:r>
    </w:p>
    <w:p w14:paraId="742E9398" w14:textId="77777777" w:rsidR="00990844" w:rsidRDefault="00000000">
      <w:pPr>
        <w:pStyle w:val="Compact"/>
        <w:numPr>
          <w:ilvl w:val="0"/>
          <w:numId w:val="4"/>
        </w:numPr>
      </w:pPr>
      <w:r>
        <w:rPr>
          <w:b/>
          <w:bCs/>
        </w:rPr>
        <w:t>Contract:</w:t>
      </w:r>
      <w:r>
        <w:t xml:space="preserve"> AS 4000-1997</w:t>
      </w:r>
    </w:p>
    <w:p w14:paraId="39E13132" w14:textId="77777777" w:rsidR="00990844" w:rsidRDefault="00000000">
      <w:pPr>
        <w:pStyle w:val="FirstParagraph"/>
      </w:pPr>
      <w:r>
        <w:t>Apex Horizon Constructions delivered this $6.8 million facility, surpassing the $5 million threshold required for the Green Valley Civic Centre project. The scope involved the demolition of an existing 1970s clinic and the construction of a purpose-built, two-storey health precinct including underground parking, radiology suites, and pathology laboratories.</w:t>
      </w:r>
    </w:p>
    <w:p w14:paraId="0F291220" w14:textId="77777777" w:rsidR="00990844" w:rsidRDefault="00000000">
      <w:pPr>
        <w:pStyle w:val="BodyText"/>
      </w:pPr>
      <w:r>
        <w:rPr>
          <w:b/>
          <w:bCs/>
        </w:rPr>
        <w:t>Relevance to Green Valley Civic Centre:</w:t>
      </w:r>
    </w:p>
    <w:p w14:paraId="35A909A0" w14:textId="77777777" w:rsidR="00990844" w:rsidRDefault="00000000">
      <w:pPr>
        <w:pStyle w:val="Compact"/>
        <w:numPr>
          <w:ilvl w:val="0"/>
          <w:numId w:val="5"/>
        </w:numPr>
      </w:pPr>
      <w:r>
        <w:rPr>
          <w:b/>
          <w:bCs/>
        </w:rPr>
        <w:t>Operational Continuity &amp; Dust Control:</w:t>
      </w:r>
      <w:r>
        <w:t xml:space="preserve"> Similar to the Green Valley Library constraint, this project was delivered within an operational hospital campus. We implemented HEPA-filtered negative pressure zones to manage airborne contaminants, ensuring zero disruption to adjacent sterile areas. This methodology directly transfers to managing silica dust and asbestos removal risks at the Civic Centre.</w:t>
      </w:r>
    </w:p>
    <w:p w14:paraId="30E31B37" w14:textId="77777777" w:rsidR="00990844" w:rsidRDefault="00000000">
      <w:pPr>
        <w:pStyle w:val="Compact"/>
        <w:numPr>
          <w:ilvl w:val="0"/>
          <w:numId w:val="5"/>
        </w:numPr>
      </w:pPr>
      <w:r>
        <w:rPr>
          <w:b/>
          <w:bCs/>
        </w:rPr>
        <w:t>Complex Services Integration:</w:t>
      </w:r>
      <w:r>
        <w:t xml:space="preserve"> The facility required the installation of specialized services, including radiation shielding for X-ray rooms and medical-grade hydraulic systems. This demonstrates our capacity to manage the complex mechanical (VRF) and electrical upgrades specified for the Green Valley extension.</w:t>
      </w:r>
    </w:p>
    <w:p w14:paraId="1397C987" w14:textId="77777777" w:rsidR="00990844" w:rsidRDefault="00000000">
      <w:pPr>
        <w:pStyle w:val="Compact"/>
        <w:numPr>
          <w:ilvl w:val="0"/>
          <w:numId w:val="5"/>
        </w:numPr>
      </w:pPr>
      <w:r>
        <w:rPr>
          <w:b/>
          <w:bCs/>
        </w:rPr>
        <w:t>Schedule Certainty:</w:t>
      </w:r>
      <w:r>
        <w:t xml:space="preserve"> We utilized a robust critical path program to deliver the project three weeks ahead of schedule, enabling the client to open prior to the critical winter flu season.</w:t>
      </w:r>
    </w:p>
    <w:p w14:paraId="411AEA87" w14:textId="77777777" w:rsidR="00990844" w:rsidRDefault="00000000">
      <w:pPr>
        <w:pStyle w:val="Heading3"/>
      </w:pPr>
      <w:bookmarkStart w:id="48" w:name="_Toc218961935"/>
      <w:bookmarkStart w:id="49" w:name="Xe77440b6e3bdfa98cc3c8192044cba5d589c6fb"/>
      <w:bookmarkEnd w:id="47"/>
      <w:r>
        <w:t>Project 3: West End Primary School - STEM &amp; Arts Precinct</w:t>
      </w:r>
      <w:bookmarkEnd w:id="48"/>
    </w:p>
    <w:p w14:paraId="40A41682" w14:textId="77777777" w:rsidR="00990844" w:rsidRDefault="00000000">
      <w:pPr>
        <w:pStyle w:val="Compact"/>
        <w:numPr>
          <w:ilvl w:val="0"/>
          <w:numId w:val="6"/>
        </w:numPr>
      </w:pPr>
      <w:r>
        <w:rPr>
          <w:b/>
          <w:bCs/>
        </w:rPr>
        <w:t>Client:</w:t>
      </w:r>
      <w:r>
        <w:t xml:space="preserve"> Department of Education</w:t>
      </w:r>
    </w:p>
    <w:p w14:paraId="72004E6B" w14:textId="77777777" w:rsidR="00990844" w:rsidRDefault="00000000">
      <w:pPr>
        <w:pStyle w:val="Compact"/>
        <w:numPr>
          <w:ilvl w:val="0"/>
          <w:numId w:val="6"/>
        </w:numPr>
      </w:pPr>
      <w:r>
        <w:rPr>
          <w:b/>
          <w:bCs/>
        </w:rPr>
        <w:t>Value:</w:t>
      </w:r>
      <w:r>
        <w:t xml:space="preserve"> $5.5 Million</w:t>
      </w:r>
    </w:p>
    <w:p w14:paraId="10CD4CDE" w14:textId="77777777" w:rsidR="00990844" w:rsidRDefault="00000000">
      <w:pPr>
        <w:pStyle w:val="Compact"/>
        <w:numPr>
          <w:ilvl w:val="0"/>
          <w:numId w:val="6"/>
        </w:numPr>
      </w:pPr>
      <w:r>
        <w:rPr>
          <w:b/>
          <w:bCs/>
        </w:rPr>
        <w:t>Completion:</w:t>
      </w:r>
      <w:r>
        <w:t xml:space="preserve"> January 2024</w:t>
      </w:r>
    </w:p>
    <w:p w14:paraId="2F0AAD00" w14:textId="77777777" w:rsidR="00990844" w:rsidRDefault="00000000">
      <w:pPr>
        <w:pStyle w:val="FirstParagraph"/>
      </w:pPr>
      <w:r>
        <w:rPr>
          <w:b/>
          <w:bCs/>
        </w:rPr>
        <w:t>Relevance to this RFT:</w:t>
      </w:r>
    </w:p>
    <w:p w14:paraId="479BB65C" w14:textId="77777777" w:rsidR="00990844" w:rsidRDefault="00000000">
      <w:pPr>
        <w:pStyle w:val="BodyText"/>
      </w:pPr>
      <w:r>
        <w:t>Apex Horizon Constructions delivered this complex education facility within a fully operational school campus. The project validates our ability to manage the specific “School Zone” and heritage constraints required for the Green Valley Civic Centre Upgrade.</w:t>
      </w:r>
    </w:p>
    <w:p w14:paraId="3BAFCDB3" w14:textId="77777777" w:rsidR="00990844" w:rsidRDefault="00000000">
      <w:pPr>
        <w:pStyle w:val="Compact"/>
        <w:numPr>
          <w:ilvl w:val="0"/>
          <w:numId w:val="7"/>
        </w:numPr>
      </w:pPr>
      <w:r>
        <w:rPr>
          <w:b/>
          <w:bCs/>
        </w:rPr>
        <w:t>Strict Logistics Management:</w:t>
      </w:r>
      <w:r>
        <w:t xml:space="preserve"> Similar to the vehicle restrictions on School Lane, this project demanded strict traffic management to protect students. We scheduled all crane lifts and heavy deliveries between 6:30 am and 8:00 am, ensuring no heavy vehicles entered the precinct during drop-off times. This disciplined approach ensures we will meet Green Valley Regional Council’s access requirements (no heavy vehicles 8:00 am-9:30 am and 2:30 pm-4:00 pm) without impacting the critical path.</w:t>
      </w:r>
    </w:p>
    <w:p w14:paraId="6273238B" w14:textId="77777777" w:rsidR="00990844" w:rsidRDefault="00000000">
      <w:pPr>
        <w:pStyle w:val="Compact"/>
        <w:numPr>
          <w:ilvl w:val="0"/>
          <w:numId w:val="7"/>
        </w:numPr>
      </w:pPr>
      <w:r>
        <w:rPr>
          <w:b/>
          <w:bCs/>
        </w:rPr>
        <w:t>Public Safety and Engagement:</w:t>
      </w:r>
      <w:r>
        <w:t xml:space="preserve"> To manage the interface between construction and the public, we installed 2.4m high solid hoardings equipped with “Viewing Windows.” This allowed students to observe the works safely, transforming the site into an educational experience rather than a disruption. We verified 100% of staff and subcontractors held valid Working With Children Checks (WWCC) daily via our digital sign-on system.</w:t>
      </w:r>
    </w:p>
    <w:p w14:paraId="76276B54" w14:textId="77777777" w:rsidR="00990844" w:rsidRDefault="00000000">
      <w:pPr>
        <w:pStyle w:val="Compact"/>
        <w:numPr>
          <w:ilvl w:val="0"/>
          <w:numId w:val="7"/>
        </w:numPr>
      </w:pPr>
      <w:r>
        <w:rPr>
          <w:b/>
          <w:bCs/>
        </w:rPr>
        <w:t>Heritage Integration:</w:t>
      </w:r>
      <w:r>
        <w:t xml:space="preserve"> The new “Future Learning” block required connection to a heritage-listed 1890s sandstone classroom. We constructed a glass “link bridge” to structurally separate the new build from the old, preserving the heritage fabric. This demonstrates our capacity to work sensitively around heritage assets, such as Green Valley’s “Old Oak,” ensuring preservation orders are strictly upheld during earthworks.</w:t>
      </w:r>
    </w:p>
    <w:p w14:paraId="614D5B91" w14:textId="77777777" w:rsidR="00990844" w:rsidRDefault="00000000">
      <w:pPr>
        <w:pStyle w:val="Heading2"/>
      </w:pPr>
      <w:bookmarkStart w:id="50" w:name="_Toc218961936"/>
      <w:bookmarkStart w:id="51" w:name="schedule-2.2-methodology-and-program"/>
      <w:bookmarkEnd w:id="43"/>
      <w:bookmarkEnd w:id="49"/>
      <w:r>
        <w:lastRenderedPageBreak/>
        <w:t>Schedule 2.2: Methodology and Program</w:t>
      </w:r>
      <w:bookmarkEnd w:id="50"/>
    </w:p>
    <w:p w14:paraId="6FBEB2CC" w14:textId="77777777" w:rsidR="00990844" w:rsidRDefault="00000000">
      <w:pPr>
        <w:pStyle w:val="FirstParagraph"/>
      </w:pPr>
      <w:r>
        <w:t>Our methodology prioritizes public safety and operational continuity for the adjacent Library. We commit to strict adherence to the 42-week program through precise staging and communication. This approach ensures minimal disruption to Council services while delivering the Civic Centre Upgrade on time.</w:t>
      </w:r>
    </w:p>
    <w:p w14:paraId="01DE363F" w14:textId="77777777" w:rsidR="00990844" w:rsidRDefault="00000000">
      <w:pPr>
        <w:pStyle w:val="Heading3"/>
      </w:pPr>
      <w:bookmarkStart w:id="52" w:name="_Toc218961937"/>
      <w:bookmarkStart w:id="53" w:name="preliminary-construction-program"/>
      <w:r>
        <w:t>Preliminary Construction Program</w:t>
      </w:r>
      <w:bookmarkEnd w:id="52"/>
    </w:p>
    <w:p w14:paraId="44D3C55C" w14:textId="77777777" w:rsidR="00990844" w:rsidRDefault="00000000">
      <w:pPr>
        <w:pStyle w:val="FirstParagraph"/>
      </w:pPr>
      <w:r>
        <w:t>Apex Horizon Constructions has developed a detailed critical path program to deliver the Green Valley Civic Centre Upgrade within the required 42-week duration. Our schedule prioritizes early risk mitigation and seamless sequencing to ensure Practical Completion is achieved on time.</w:t>
      </w:r>
    </w:p>
    <w:p w14:paraId="0B47364A" w14:textId="77777777" w:rsidR="00990844" w:rsidRDefault="00000000">
      <w:pPr>
        <w:pStyle w:val="BodyText"/>
      </w:pPr>
      <w:r>
        <w:rPr>
          <w:b/>
          <w:bCs/>
        </w:rPr>
        <w:t>Critical Path Analysis</w:t>
      </w:r>
    </w:p>
    <w:p w14:paraId="45FA7386" w14:textId="77777777" w:rsidR="00990844" w:rsidRDefault="00000000">
      <w:pPr>
        <w:pStyle w:val="BodyText"/>
      </w:pPr>
      <w:r>
        <w:t>Our methodology follows a logical construction sequence designed to minimize disruption to the adjacent operational Library:</w:t>
      </w:r>
    </w:p>
    <w:p w14:paraId="342EAFD3" w14:textId="77777777" w:rsidR="00990844" w:rsidRDefault="00000000">
      <w:pPr>
        <w:pStyle w:val="Compact"/>
        <w:numPr>
          <w:ilvl w:val="0"/>
          <w:numId w:val="8"/>
        </w:numPr>
      </w:pPr>
      <w:r>
        <w:rPr>
          <w:b/>
          <w:bCs/>
        </w:rPr>
        <w:t>Site Possession &amp; Establishment (Weeks 1-2):</w:t>
      </w:r>
      <w:r>
        <w:t xml:space="preserve"> We will commence with the installation of Class A hoarding and disconnection of existing services. This phase establishes the secure perimeter required for safe operations.</w:t>
      </w:r>
    </w:p>
    <w:p w14:paraId="7E1C0AD0" w14:textId="77777777" w:rsidR="00990844" w:rsidRDefault="00000000">
      <w:pPr>
        <w:pStyle w:val="Compact"/>
        <w:numPr>
          <w:ilvl w:val="0"/>
          <w:numId w:val="8"/>
        </w:numPr>
      </w:pPr>
      <w:r>
        <w:rPr>
          <w:b/>
          <w:bCs/>
        </w:rPr>
        <w:t>Demolition &amp; Earthworks (Weeks 3-6):</w:t>
      </w:r>
      <w:r>
        <w:t xml:space="preserve"> This phase involves the controlled removal of asbestos-containing materials (ACM) in strict compliance with the Safework Australia Code of Practice 2016, followed by the demolition of the existing brick annex. Dust suppression is critical during this stage.</w:t>
      </w:r>
    </w:p>
    <w:p w14:paraId="14D7D39D" w14:textId="77777777" w:rsidR="00990844" w:rsidRDefault="00000000">
      <w:pPr>
        <w:pStyle w:val="Compact"/>
        <w:numPr>
          <w:ilvl w:val="0"/>
          <w:numId w:val="8"/>
        </w:numPr>
      </w:pPr>
      <w:r>
        <w:rPr>
          <w:b/>
          <w:bCs/>
        </w:rPr>
        <w:t>Substructure (Weeks 7-10):</w:t>
      </w:r>
      <w:r>
        <w:t xml:space="preserve"> We will proceed with the installation of bored piers to a depth of 3.5m and the pouring of the reinforced concrete raft slab.</w:t>
      </w:r>
    </w:p>
    <w:p w14:paraId="36DDDFDD" w14:textId="77777777" w:rsidR="00990844" w:rsidRDefault="00000000">
      <w:pPr>
        <w:pStyle w:val="Compact"/>
        <w:numPr>
          <w:ilvl w:val="0"/>
          <w:numId w:val="8"/>
        </w:numPr>
      </w:pPr>
      <w:r>
        <w:rPr>
          <w:b/>
          <w:bCs/>
        </w:rPr>
        <w:t>Structure (Weeks 11-16):</w:t>
      </w:r>
      <w:r>
        <w:t xml:space="preserve"> The erection of the hot-dip galvanized structural steel portal frame represents the primary critical path activity.</w:t>
      </w:r>
    </w:p>
    <w:p w14:paraId="78E1F31B" w14:textId="77777777" w:rsidR="00990844" w:rsidRDefault="00000000">
      <w:pPr>
        <w:pStyle w:val="Compact"/>
        <w:numPr>
          <w:ilvl w:val="0"/>
          <w:numId w:val="8"/>
        </w:numPr>
      </w:pPr>
      <w:r>
        <w:rPr>
          <w:b/>
          <w:bCs/>
        </w:rPr>
        <w:t>Enclosure (Weeks 17-22):</w:t>
      </w:r>
      <w:r>
        <w:t xml:space="preserve"> We will install the Lysaght Klip-Lok 700 roofing and Equitone cladding to achieve a watertight structure, permitting internal trade access.</w:t>
      </w:r>
    </w:p>
    <w:p w14:paraId="0F383A23" w14:textId="77777777" w:rsidR="00990844" w:rsidRDefault="00000000">
      <w:pPr>
        <w:pStyle w:val="Compact"/>
        <w:numPr>
          <w:ilvl w:val="0"/>
          <w:numId w:val="8"/>
        </w:numPr>
      </w:pPr>
      <w:r>
        <w:rPr>
          <w:b/>
          <w:bCs/>
        </w:rPr>
        <w:t>Fitout (Weeks 23-36):</w:t>
      </w:r>
      <w:r>
        <w:t xml:space="preserve"> Multiple trades will work concurrently to complete services rough-in, installation of acoustic timber paneling, commercial kitchen fitout, and internal linings.</w:t>
      </w:r>
    </w:p>
    <w:p w14:paraId="7B1B16C5" w14:textId="77777777" w:rsidR="00990844" w:rsidRDefault="00000000">
      <w:pPr>
        <w:pStyle w:val="Compact"/>
        <w:numPr>
          <w:ilvl w:val="0"/>
          <w:numId w:val="8"/>
        </w:numPr>
      </w:pPr>
      <w:r>
        <w:rPr>
          <w:b/>
          <w:bCs/>
        </w:rPr>
        <w:t>Commissioning &amp; Handover (Weeks 37-42):</w:t>
      </w:r>
      <w:r>
        <w:t xml:space="preserve"> The final phase involves full testing of the new VRF air conditioning, electrical rewiring, and final defect rectification to ensure a flawless handover.</w:t>
      </w:r>
    </w:p>
    <w:p w14:paraId="59457D66" w14:textId="77777777" w:rsidR="00990844" w:rsidRDefault="00000000">
      <w:pPr>
        <w:pStyle w:val="FirstParagraph"/>
      </w:pPr>
      <w:r>
        <w:rPr>
          <w:b/>
          <w:bCs/>
        </w:rPr>
        <w:t>Procurement Strategy</w:t>
      </w:r>
    </w:p>
    <w:p w14:paraId="59E89961" w14:textId="77777777" w:rsidR="00990844" w:rsidRDefault="00000000">
      <w:pPr>
        <w:pStyle w:val="BodyText"/>
      </w:pPr>
      <w:r>
        <w:t>To safeguard the program against supply chain volatility, we will implement an accelerated procurement strategy for long-lead items immediately upon contract award:</w:t>
      </w:r>
    </w:p>
    <w:p w14:paraId="4B510A96" w14:textId="77777777" w:rsidR="00990844" w:rsidRDefault="00000000">
      <w:pPr>
        <w:pStyle w:val="Compact"/>
        <w:numPr>
          <w:ilvl w:val="0"/>
          <w:numId w:val="9"/>
        </w:numPr>
      </w:pPr>
      <w:r>
        <w:rPr>
          <w:b/>
          <w:bCs/>
        </w:rPr>
        <w:t>Structural Steel:</w:t>
      </w:r>
      <w:r>
        <w:t xml:space="preserve"> We will finalize shop drawings and raise purchase orders for the hot-dip galvanized steel portal frame within the first week of the project. This secures fabrication slots and mitigates lead time risks.</w:t>
      </w:r>
    </w:p>
    <w:p w14:paraId="7F0FE8FE" w14:textId="77777777" w:rsidR="00990844" w:rsidRDefault="00000000">
      <w:pPr>
        <w:pStyle w:val="Compact"/>
        <w:numPr>
          <w:ilvl w:val="0"/>
          <w:numId w:val="9"/>
        </w:numPr>
      </w:pPr>
      <w:r>
        <w:rPr>
          <w:b/>
          <w:bCs/>
        </w:rPr>
        <w:t>Roofing Materials:</w:t>
      </w:r>
      <w:r>
        <w:t xml:space="preserve"> Orders for the Lysaght Klip-Lok 700 Hi-Strength cladding will be placed concurrently with steel procurement to ensure materials are on-site immediately upon frame completion.</w:t>
      </w:r>
    </w:p>
    <w:p w14:paraId="206A4393" w14:textId="77777777" w:rsidR="00990844" w:rsidRDefault="00000000">
      <w:pPr>
        <w:pStyle w:val="FirstParagraph"/>
      </w:pPr>
      <w:r>
        <w:rPr>
          <w:b/>
          <w:bCs/>
        </w:rPr>
        <w:t>Target Completion</w:t>
      </w:r>
    </w:p>
    <w:p w14:paraId="27AF1613" w14:textId="77777777" w:rsidR="00990844" w:rsidRDefault="00000000">
      <w:pPr>
        <w:pStyle w:val="BodyText"/>
      </w:pPr>
      <w:r>
        <w:t>We target Practical Completion by Week 42. Our program includes allowance for inclement weather and strictly adheres to the noise restrictions (noisy works limited to 7:00am–9:00am and 4:00pm–6:00pm) to respect the community hub environment.</w:t>
      </w:r>
    </w:p>
    <w:p w14:paraId="02EEAF2C" w14:textId="77777777" w:rsidR="00990844" w:rsidRDefault="00000000">
      <w:pPr>
        <w:pStyle w:val="Heading3"/>
      </w:pPr>
      <w:bookmarkStart w:id="54" w:name="_Toc218961938"/>
      <w:bookmarkStart w:id="55" w:name="operational-continuity-strategy"/>
      <w:bookmarkEnd w:id="53"/>
      <w:r>
        <w:t>Operational Continuity Strategy</w:t>
      </w:r>
      <w:bookmarkEnd w:id="54"/>
    </w:p>
    <w:p w14:paraId="19C2DD6A" w14:textId="77777777" w:rsidR="00990844" w:rsidRDefault="00000000">
      <w:pPr>
        <w:pStyle w:val="FirstParagraph"/>
      </w:pPr>
      <w:r>
        <w:t>Apex Horizon Constructions understands that the Green Valley Library is a critical community hub. Our approach to this project ensures the library remains fully operational, safe, and accessible throughout the 42-week construction program. We treat the library not as a neighbour, but as a stakeholder with equal priority to the construction works.</w:t>
      </w:r>
    </w:p>
    <w:p w14:paraId="63B4E85A" w14:textId="77777777" w:rsidR="00990844" w:rsidRDefault="00000000">
      <w:pPr>
        <w:pStyle w:val="BodyText"/>
      </w:pPr>
      <w:r>
        <w:t>Based on our successful delivery of the Riverside Library and West End Primary School (Live Environment), we will implement the following measures to guarantee zero disruption to library services.</w:t>
      </w:r>
    </w:p>
    <w:p w14:paraId="2E42A20F" w14:textId="77777777" w:rsidR="00990844" w:rsidRDefault="00000000">
      <w:pPr>
        <w:pStyle w:val="BodyText"/>
      </w:pPr>
      <w:r>
        <w:rPr>
          <w:b/>
          <w:bCs/>
        </w:rPr>
        <w:t>Noise and Acoustic Management</w:t>
      </w:r>
    </w:p>
    <w:p w14:paraId="4D4FD95D" w14:textId="77777777" w:rsidR="00990844" w:rsidRDefault="00000000">
      <w:pPr>
        <w:pStyle w:val="BodyText"/>
      </w:pPr>
      <w:r>
        <w:lastRenderedPageBreak/>
        <w:t>Libraries require a specific acoustic environment. We manage noise generation at the source and the transmission path to ensure internal noise levels within the library remain within acceptable standards during operating hours.</w:t>
      </w:r>
    </w:p>
    <w:p w14:paraId="0B529C4E" w14:textId="77777777" w:rsidR="00990844" w:rsidRDefault="00000000">
      <w:pPr>
        <w:pStyle w:val="Compact"/>
        <w:numPr>
          <w:ilvl w:val="0"/>
          <w:numId w:val="10"/>
        </w:numPr>
      </w:pPr>
      <w:r>
        <w:rPr>
          <w:b/>
          <w:bCs/>
        </w:rPr>
        <w:t>Strict Adherence to Restricted Hours:</w:t>
      </w:r>
      <w:r>
        <w:t xml:space="preserve"> In compliance with the RFT, all construction activities generating noise exceeding 85dB will be strictly programmed to occur only between </w:t>
      </w:r>
      <w:r>
        <w:rPr>
          <w:b/>
          <w:bCs/>
        </w:rPr>
        <w:t>07:00 – 09:00</w:t>
      </w:r>
      <w:r>
        <w:t xml:space="preserve"> and </w:t>
      </w:r>
      <w:r>
        <w:rPr>
          <w:b/>
          <w:bCs/>
        </w:rPr>
        <w:t>16:00 – 18:00</w:t>
      </w:r>
      <w:r>
        <w:t>. This includes concrete cutting, heavy demolition, and use of pneumatic tools.</w:t>
      </w:r>
    </w:p>
    <w:p w14:paraId="7B4315CD" w14:textId="77777777" w:rsidR="00990844" w:rsidRDefault="00000000">
      <w:pPr>
        <w:pStyle w:val="Compact"/>
        <w:numPr>
          <w:ilvl w:val="0"/>
          <w:numId w:val="10"/>
        </w:numPr>
      </w:pPr>
      <w:r>
        <w:rPr>
          <w:b/>
          <w:bCs/>
        </w:rPr>
        <w:t>Acoustic Hoarding &amp; Blankets:</w:t>
      </w:r>
      <w:r>
        <w:t xml:space="preserve"> We will install Class A solid plywood hoardings (2.4m high) along the shared boundary and construction perimeter. These hoardings will be fitted with industrial-grade acoustic blankets (such as EchoBarrier or equivalent) which reduce noise transmission by up to 32dB.</w:t>
      </w:r>
    </w:p>
    <w:p w14:paraId="57A865E3" w14:textId="77777777" w:rsidR="00990844" w:rsidRDefault="00000000">
      <w:pPr>
        <w:pStyle w:val="Compact"/>
        <w:numPr>
          <w:ilvl w:val="0"/>
          <w:numId w:val="10"/>
        </w:numPr>
      </w:pPr>
      <w:r>
        <w:rPr>
          <w:b/>
          <w:bCs/>
        </w:rPr>
        <w:t>Plant Selection:</w:t>
      </w:r>
      <w:r>
        <w:t xml:space="preserve"> All static plant (generators, compressors) will be “silenced” models and positioned as far as possible from the library façade to minimize ambient noise.</w:t>
      </w:r>
    </w:p>
    <w:p w14:paraId="72599E96" w14:textId="77777777" w:rsidR="00990844" w:rsidRDefault="00000000">
      <w:pPr>
        <w:pStyle w:val="Compact"/>
        <w:numPr>
          <w:ilvl w:val="0"/>
          <w:numId w:val="10"/>
        </w:numPr>
      </w:pPr>
      <w:r>
        <w:rPr>
          <w:b/>
          <w:bCs/>
        </w:rPr>
        <w:t>Quiet Works Protocol:</w:t>
      </w:r>
      <w:r>
        <w:t xml:space="preserve"> During the library’s peak usage times (e.g., scheduled “Story Time” or community events), we will implement a “Quiet Works” hold point. This involves scheduling low-impact tasks such as painting, cabling, or manual materials handling during these specific windows.</w:t>
      </w:r>
    </w:p>
    <w:p w14:paraId="7325DA9F" w14:textId="77777777" w:rsidR="00990844" w:rsidRDefault="00000000">
      <w:pPr>
        <w:pStyle w:val="FirstParagraph"/>
      </w:pPr>
      <w:r>
        <w:rPr>
          <w:b/>
          <w:bCs/>
        </w:rPr>
        <w:t>Vibration Monitoring and Structural Integrity</w:t>
      </w:r>
    </w:p>
    <w:p w14:paraId="0E4108F7" w14:textId="77777777" w:rsidR="00990844" w:rsidRDefault="00000000">
      <w:pPr>
        <w:pStyle w:val="BodyText"/>
      </w:pPr>
      <w:r>
        <w:t>The proximity of the excavation and piling works poses a vibration risk to the existing library structure and sensitive equipment (e.g., server racks).</w:t>
      </w:r>
    </w:p>
    <w:p w14:paraId="7001A14D" w14:textId="77777777" w:rsidR="00990844" w:rsidRDefault="00000000">
      <w:pPr>
        <w:pStyle w:val="Compact"/>
        <w:numPr>
          <w:ilvl w:val="0"/>
          <w:numId w:val="11"/>
        </w:numPr>
      </w:pPr>
      <w:r>
        <w:rPr>
          <w:b/>
          <w:bCs/>
        </w:rPr>
        <w:t>Real-Time Monitoring:</w:t>
      </w:r>
      <w:r>
        <w:t xml:space="preserve"> We will install vibration monitors on the shared boundary wall and key structural columns of the library. These monitors are connected to a telemetry system that sends instant SMS alerts to the Site Foreman if vibration levels approach the threshold limits set by the structural engineer.</w:t>
      </w:r>
    </w:p>
    <w:p w14:paraId="0996024F" w14:textId="77777777" w:rsidR="00990844" w:rsidRDefault="00000000">
      <w:pPr>
        <w:pStyle w:val="Compact"/>
        <w:numPr>
          <w:ilvl w:val="0"/>
          <w:numId w:val="11"/>
        </w:numPr>
      </w:pPr>
      <w:r>
        <w:rPr>
          <w:b/>
          <w:bCs/>
        </w:rPr>
        <w:t>Work Stoppage Trigger:</w:t>
      </w:r>
      <w:r>
        <w:t xml:space="preserve"> If a vibration alert is triggered, all work ceases immediately. We will investigate the source and modify the methodology (e.g., switching to smaller excavators or alternative rock-breaking methods) before recommencing.</w:t>
      </w:r>
    </w:p>
    <w:p w14:paraId="5AE34393" w14:textId="77777777" w:rsidR="00990844" w:rsidRDefault="00000000">
      <w:pPr>
        <w:pStyle w:val="Compact"/>
        <w:numPr>
          <w:ilvl w:val="0"/>
          <w:numId w:val="11"/>
        </w:numPr>
      </w:pPr>
      <w:r>
        <w:rPr>
          <w:b/>
          <w:bCs/>
        </w:rPr>
        <w:t>Dilapidation Survey:</w:t>
      </w:r>
      <w:r>
        <w:t xml:space="preserve"> Prior to Site Possession, we will conduct a comprehensive photographic dilapidation survey of the library’s internal and external fabric to benchmark the existing condition.</w:t>
      </w:r>
    </w:p>
    <w:p w14:paraId="5BA4450E" w14:textId="77777777" w:rsidR="00990844" w:rsidRDefault="00000000">
      <w:pPr>
        <w:pStyle w:val="FirstParagraph"/>
      </w:pPr>
      <w:r>
        <w:rPr>
          <w:b/>
          <w:bCs/>
        </w:rPr>
        <w:t>Stakeholder Communication Protocol</w:t>
      </w:r>
    </w:p>
    <w:p w14:paraId="47F9FE15" w14:textId="77777777" w:rsidR="00990844" w:rsidRDefault="00000000">
      <w:pPr>
        <w:pStyle w:val="BodyText"/>
      </w:pPr>
      <w:r>
        <w:t>Effective communication prevents conflict. We integrate the Library Manager into our daily site rhythm to ensure they are never surprised by construction activities.</w:t>
      </w:r>
    </w:p>
    <w:p w14:paraId="5C9536DB" w14:textId="77777777" w:rsidR="00990844" w:rsidRDefault="00000000">
      <w:pPr>
        <w:pStyle w:val="Compact"/>
        <w:numPr>
          <w:ilvl w:val="0"/>
          <w:numId w:val="12"/>
        </w:numPr>
      </w:pPr>
      <w:r>
        <w:rPr>
          <w:b/>
          <w:bCs/>
        </w:rPr>
        <w:t>Daily 8:30 AM Coordination Meeting:</w:t>
      </w:r>
      <w:r>
        <w:t xml:space="preserve"> Our Site Manager will hold a mandatory 10-minute stand-up meeting with the Library Manager every morning at 8:30 AM.</w:t>
      </w:r>
    </w:p>
    <w:p w14:paraId="6366577B" w14:textId="77777777" w:rsidR="00990844" w:rsidRDefault="00000000">
      <w:pPr>
        <w:pStyle w:val="Compact"/>
        <w:numPr>
          <w:ilvl w:val="1"/>
          <w:numId w:val="13"/>
        </w:numPr>
      </w:pPr>
      <w:r>
        <w:rPr>
          <w:b/>
          <w:bCs/>
        </w:rPr>
        <w:t>Agenda:</w:t>
      </w:r>
      <w:r>
        <w:t xml:space="preserve"> Review the day’s planned works, confirm timing of any noise-generating activities, and identify any special library events requiring silence.</w:t>
      </w:r>
    </w:p>
    <w:p w14:paraId="68370769" w14:textId="77777777" w:rsidR="00990844" w:rsidRDefault="00000000">
      <w:pPr>
        <w:pStyle w:val="Compact"/>
        <w:numPr>
          <w:ilvl w:val="1"/>
          <w:numId w:val="13"/>
        </w:numPr>
      </w:pPr>
      <w:r>
        <w:rPr>
          <w:b/>
          <w:bCs/>
        </w:rPr>
        <w:t>Outcome:</w:t>
      </w:r>
      <w:r>
        <w:t xml:space="preserve"> Immediate adjustment of the daily works plan if required to accommodate library needs.</w:t>
      </w:r>
    </w:p>
    <w:p w14:paraId="22243F68" w14:textId="77777777" w:rsidR="00990844" w:rsidRDefault="00000000">
      <w:pPr>
        <w:pStyle w:val="Compact"/>
        <w:numPr>
          <w:ilvl w:val="0"/>
          <w:numId w:val="12"/>
        </w:numPr>
      </w:pPr>
      <w:r>
        <w:rPr>
          <w:b/>
          <w:bCs/>
        </w:rPr>
        <w:t>Two-Week Look-Ahead:</w:t>
      </w:r>
      <w:r>
        <w:t xml:space="preserve"> Every Friday, we will issue a simple, colour-coded “Look-Ahead Program” to the Council and Library Manager. This highlights high-impact days for the upcoming fortnight, allowing library staff to plan their internal rosters and events accordingly.</w:t>
      </w:r>
    </w:p>
    <w:p w14:paraId="63A140B6" w14:textId="77777777" w:rsidR="00990844" w:rsidRDefault="00000000">
      <w:pPr>
        <w:pStyle w:val="Compact"/>
        <w:numPr>
          <w:ilvl w:val="0"/>
          <w:numId w:val="12"/>
        </w:numPr>
      </w:pPr>
      <w:r>
        <w:rPr>
          <w:b/>
          <w:bCs/>
        </w:rPr>
        <w:t>Complaint Resolution:</w:t>
      </w:r>
      <w:r>
        <w:t xml:space="preserve"> A dedicated 24-hour community hotline number will be displayed on the site hoarding. Any complaints regarding noise or access are escalated directly to the Project Manager for resolution within 2 hours.</w:t>
      </w:r>
    </w:p>
    <w:p w14:paraId="3C3C6E58" w14:textId="77777777" w:rsidR="00990844" w:rsidRDefault="00000000">
      <w:pPr>
        <w:pStyle w:val="FirstParagraph"/>
      </w:pPr>
      <w:r>
        <w:rPr>
          <w:b/>
          <w:bCs/>
        </w:rPr>
        <w:t>Safety and Physical Separation</w:t>
      </w:r>
    </w:p>
    <w:p w14:paraId="7561F2D8" w14:textId="77777777" w:rsidR="00990844" w:rsidRDefault="00000000">
      <w:pPr>
        <w:pStyle w:val="BodyText"/>
      </w:pPr>
      <w:r>
        <w:t>We establish a “hard” physical separation between the construction zone and the public domain to ensure the safety of library patrons, particularly children and the elderly.</w:t>
      </w:r>
    </w:p>
    <w:p w14:paraId="49AE303F" w14:textId="77777777" w:rsidR="00990844" w:rsidRDefault="00000000">
      <w:pPr>
        <w:pStyle w:val="Compact"/>
        <w:numPr>
          <w:ilvl w:val="0"/>
          <w:numId w:val="14"/>
        </w:numPr>
      </w:pPr>
      <w:r>
        <w:rPr>
          <w:b/>
          <w:bCs/>
        </w:rPr>
        <w:t>Class A Hoarding:</w:t>
      </w:r>
      <w:r>
        <w:t xml:space="preserve"> As utilized on our West End Primary School project, we will install 2.4m high solid timber hoardings painted in Council colours. This provides a secure physical barrier that prevents unauthorized access and contains debris.</w:t>
      </w:r>
    </w:p>
    <w:p w14:paraId="3A7DAA64" w14:textId="77777777" w:rsidR="00990844" w:rsidRDefault="00000000">
      <w:pPr>
        <w:pStyle w:val="Compact"/>
        <w:numPr>
          <w:ilvl w:val="0"/>
          <w:numId w:val="14"/>
        </w:numPr>
      </w:pPr>
      <w:r>
        <w:rPr>
          <w:b/>
          <w:bCs/>
        </w:rPr>
        <w:t>Dust Suppression:</w:t>
      </w:r>
      <w:r>
        <w:t xml:space="preserve"> We recognize that dust is a major risk to library archives and electronics. We will employ continuous water misting during demolition, install geofabric covering on all stockpiles, and install dust monitors at the site boundary.</w:t>
      </w:r>
    </w:p>
    <w:p w14:paraId="01FE9F70" w14:textId="77777777" w:rsidR="00990844" w:rsidRDefault="00000000">
      <w:pPr>
        <w:pStyle w:val="Compact"/>
        <w:numPr>
          <w:ilvl w:val="0"/>
          <w:numId w:val="14"/>
        </w:numPr>
      </w:pPr>
      <w:r>
        <w:rPr>
          <w:b/>
          <w:bCs/>
        </w:rPr>
        <w:lastRenderedPageBreak/>
        <w:t>Segregated Access:</w:t>
      </w:r>
      <w:r>
        <w:t xml:space="preserve"> Construction traffic will be strictly separated from library patron access. Heavy vehicles will enter solely via the designated service gates on Eucalyptus Drive. We will employ certified Traffic Controllers to manage the interface between construction vehicles and pedestrians, particularly during the school zone exclusion times (08:00–09:30 and 14:30–16:00).</w:t>
      </w:r>
    </w:p>
    <w:p w14:paraId="20374EC0" w14:textId="77777777" w:rsidR="00990844" w:rsidRDefault="00000000">
      <w:pPr>
        <w:pStyle w:val="Heading3"/>
      </w:pPr>
      <w:bookmarkStart w:id="56" w:name="_Toc218961939"/>
      <w:bookmarkStart w:id="57" w:name="site-establishment-and-logistics"/>
      <w:bookmarkEnd w:id="55"/>
      <w:r>
        <w:t>Site Establishment and Logistics</w:t>
      </w:r>
      <w:bookmarkEnd w:id="56"/>
    </w:p>
    <w:p w14:paraId="04D4E509" w14:textId="77777777" w:rsidR="00990844" w:rsidRDefault="00000000">
      <w:pPr>
        <w:pStyle w:val="FirstParagraph"/>
      </w:pPr>
      <w:r>
        <w:t>Apex Horizon Constructions (Apex) will establish a secure, self-contained construction zone at 45 Eucalyptus Drive that prioritizes public safety and operational continuity for the adjacent Library. Our logistics plan integrates strict traffic control measures compatible with the local school zone and robust environmental protections for heritage assets.</w:t>
      </w:r>
    </w:p>
    <w:p w14:paraId="7663471C" w14:textId="77777777" w:rsidR="00990844" w:rsidRDefault="00000000">
      <w:pPr>
        <w:pStyle w:val="BodyText"/>
      </w:pPr>
      <w:r>
        <w:rPr>
          <w:b/>
          <w:bCs/>
        </w:rPr>
        <w:t>Site Perimeter and Security</w:t>
      </w:r>
    </w:p>
    <w:p w14:paraId="59ABE9E4" w14:textId="77777777" w:rsidR="00990844" w:rsidRDefault="00000000">
      <w:pPr>
        <w:pStyle w:val="BodyText"/>
      </w:pPr>
      <w:r>
        <w:t>We will secure the entire perimeter of 45 Eucalyptus Drive with Class A solid plywood hoarding, painted in Council brand colours to maintain visual amenity. This 2.4m high solid hoarding serves three critical functions:</w:t>
      </w:r>
    </w:p>
    <w:p w14:paraId="3338BF3F" w14:textId="77777777" w:rsidR="00990844" w:rsidRDefault="00000000">
      <w:pPr>
        <w:pStyle w:val="Compact"/>
        <w:numPr>
          <w:ilvl w:val="0"/>
          <w:numId w:val="15"/>
        </w:numPr>
      </w:pPr>
      <w:r>
        <w:rPr>
          <w:b/>
          <w:bCs/>
        </w:rPr>
        <w:t>Public Safety:</w:t>
      </w:r>
      <w:r>
        <w:t xml:space="preserve"> Creates a physical barrier between construction activities and the public, specifically library patrons and school students.</w:t>
      </w:r>
    </w:p>
    <w:p w14:paraId="230DB18D" w14:textId="77777777" w:rsidR="00990844" w:rsidRDefault="00000000">
      <w:pPr>
        <w:pStyle w:val="Compact"/>
        <w:numPr>
          <w:ilvl w:val="0"/>
          <w:numId w:val="15"/>
        </w:numPr>
      </w:pPr>
      <w:r>
        <w:rPr>
          <w:b/>
          <w:bCs/>
        </w:rPr>
        <w:t>Dust &amp; Noise Mitigation:</w:t>
      </w:r>
      <w:r>
        <w:t xml:space="preserve"> Acts as an acoustic shield and windbreak to contain dust within the site boundary.</w:t>
      </w:r>
    </w:p>
    <w:p w14:paraId="5F6123A5" w14:textId="77777777" w:rsidR="00990844" w:rsidRDefault="00000000">
      <w:pPr>
        <w:pStyle w:val="Compact"/>
        <w:numPr>
          <w:ilvl w:val="0"/>
          <w:numId w:val="15"/>
        </w:numPr>
      </w:pPr>
      <w:r>
        <w:rPr>
          <w:b/>
          <w:bCs/>
        </w:rPr>
        <w:t>Security:</w:t>
      </w:r>
      <w:r>
        <w:t xml:space="preserve"> Prevents unauthorized access. We control site entry via a single heavy-vehicle gate on Eucalyptus Drive and a biometric turnstile for personnel.</w:t>
      </w:r>
    </w:p>
    <w:p w14:paraId="2CA15E57" w14:textId="77777777" w:rsidR="00990844" w:rsidRDefault="00000000">
      <w:pPr>
        <w:pStyle w:val="FirstParagraph"/>
      </w:pPr>
      <w:r>
        <w:rPr>
          <w:b/>
          <w:bCs/>
        </w:rPr>
        <w:t>Traffic Management and School Zone Constraints</w:t>
      </w:r>
    </w:p>
    <w:p w14:paraId="45ACEA93" w14:textId="77777777" w:rsidR="00990844" w:rsidRDefault="00000000">
      <w:pPr>
        <w:pStyle w:val="BodyText"/>
      </w:pPr>
      <w:r>
        <w:t>We recognize the high-risk nature of operating adjacent to a school zone. Our Traffic Management Plan (TMP) strictly adheres to the constraints outlined in the Scope of Works to ensure the safety of students and pedestrians.</w:t>
      </w:r>
    </w:p>
    <w:p w14:paraId="15AFE15F" w14:textId="77777777" w:rsidR="00990844" w:rsidRDefault="00000000">
      <w:pPr>
        <w:pStyle w:val="Compact"/>
        <w:numPr>
          <w:ilvl w:val="0"/>
          <w:numId w:val="16"/>
        </w:numPr>
      </w:pPr>
      <w:r>
        <w:rPr>
          <w:b/>
          <w:bCs/>
        </w:rPr>
        <w:t>Restricted Access:</w:t>
      </w:r>
      <w:r>
        <w:t xml:space="preserve"> All construction traffic, including deliveries and personnel, will access the site exclusively via Eucalyptus Drive. We strictly prohibit construction vehicles from using School Lane for site ingress or egress.</w:t>
      </w:r>
    </w:p>
    <w:p w14:paraId="1765B66E" w14:textId="77777777" w:rsidR="00990844" w:rsidRDefault="00000000">
      <w:pPr>
        <w:pStyle w:val="Compact"/>
        <w:numPr>
          <w:ilvl w:val="0"/>
          <w:numId w:val="16"/>
        </w:numPr>
      </w:pPr>
      <w:r>
        <w:rPr>
          <w:b/>
          <w:bCs/>
        </w:rPr>
        <w:t>School Zone Curfew:</w:t>
      </w:r>
      <w:r>
        <w:t xml:space="preserve"> We enforce a strict blackout period for heavy vehicle movements. No heavy vehicles will enter or leave the site between </w:t>
      </w:r>
      <w:r>
        <w:rPr>
          <w:b/>
          <w:bCs/>
        </w:rPr>
        <w:t>8:00am – 9:30am</w:t>
      </w:r>
      <w:r>
        <w:t xml:space="preserve"> and </w:t>
      </w:r>
      <w:r>
        <w:rPr>
          <w:b/>
          <w:bCs/>
        </w:rPr>
        <w:t>2:30pm – 4:00pm</w:t>
      </w:r>
      <w:r>
        <w:t xml:space="preserve"> on school days. Deliveries will be scheduled via our logistics software to arrive outside these peak drop-off and pick-up windows.</w:t>
      </w:r>
    </w:p>
    <w:p w14:paraId="3414674A" w14:textId="77777777" w:rsidR="00990844" w:rsidRDefault="00000000">
      <w:pPr>
        <w:pStyle w:val="Compact"/>
        <w:numPr>
          <w:ilvl w:val="0"/>
          <w:numId w:val="16"/>
        </w:numPr>
      </w:pPr>
      <w:r>
        <w:rPr>
          <w:b/>
          <w:bCs/>
        </w:rPr>
        <w:t>Traffic Control:</w:t>
      </w:r>
      <w:r>
        <w:t xml:space="preserve"> A certified Traffic Controller will manage the Eucalyptus Drive gate during all active delivery hours to manage the interface between construction vehicles and public traffic.</w:t>
      </w:r>
    </w:p>
    <w:p w14:paraId="0DCB46BF" w14:textId="77777777" w:rsidR="00990844" w:rsidRDefault="00000000">
      <w:pPr>
        <w:pStyle w:val="FirstParagraph"/>
      </w:pPr>
      <w:r>
        <w:rPr>
          <w:b/>
          <w:bCs/>
        </w:rPr>
        <w:t>Heritage Protection: The Old Oak</w:t>
      </w:r>
    </w:p>
    <w:p w14:paraId="4A65BE17" w14:textId="77777777" w:rsidR="00990844" w:rsidRDefault="00000000">
      <w:pPr>
        <w:pStyle w:val="BodyText"/>
      </w:pPr>
      <w:r>
        <w:t>Preserving the heritage-listed “Old Oak” on the western boundary is a non-negotiable priority. Prior to any demolition or earthworks commencing, we will implement the following protection measures:</w:t>
      </w:r>
    </w:p>
    <w:p w14:paraId="3C3A54BE" w14:textId="77777777" w:rsidR="00990844" w:rsidRDefault="00000000">
      <w:pPr>
        <w:pStyle w:val="Compact"/>
        <w:numPr>
          <w:ilvl w:val="0"/>
          <w:numId w:val="17"/>
        </w:numPr>
      </w:pPr>
      <w:r>
        <w:rPr>
          <w:b/>
          <w:bCs/>
        </w:rPr>
        <w:t>Tree Protection Zone (TPZ):</w:t>
      </w:r>
      <w:r>
        <w:t xml:space="preserve"> We will install a rigid chain-wire fence around the tree’s drip line to establish the TPZ. This area is a strict “No Go Zone” for machinery, storage, or foot traffic.</w:t>
      </w:r>
    </w:p>
    <w:p w14:paraId="24D1D571" w14:textId="77777777" w:rsidR="00990844" w:rsidRDefault="00000000">
      <w:pPr>
        <w:pStyle w:val="Compact"/>
        <w:numPr>
          <w:ilvl w:val="0"/>
          <w:numId w:val="17"/>
        </w:numPr>
      </w:pPr>
      <w:r>
        <w:rPr>
          <w:b/>
          <w:bCs/>
        </w:rPr>
        <w:t>Arboricultural Supervision:</w:t>
      </w:r>
      <w:r>
        <w:t xml:space="preserve"> We will engage a Level 5 Arborist to inspect the TPZ fencing before works begin. Any excavation required near the root zone will be conducted using non-destructive digging methods (hydro-excavation) under arborist supervision.</w:t>
      </w:r>
    </w:p>
    <w:p w14:paraId="20F6106B" w14:textId="77777777" w:rsidR="00990844" w:rsidRDefault="00000000">
      <w:pPr>
        <w:pStyle w:val="Compact"/>
        <w:numPr>
          <w:ilvl w:val="0"/>
          <w:numId w:val="17"/>
        </w:numPr>
      </w:pPr>
      <w:r>
        <w:rPr>
          <w:b/>
          <w:bCs/>
        </w:rPr>
        <w:t>Impact Prevention:</w:t>
      </w:r>
      <w:r>
        <w:t xml:space="preserve"> The trunk will be wrapped in hessian and timber battens to prevent accidental mechanical damage during the adjacent grubbing and clearing works.</w:t>
      </w:r>
    </w:p>
    <w:p w14:paraId="1AE08D79" w14:textId="77777777" w:rsidR="00990844" w:rsidRDefault="00000000">
      <w:pPr>
        <w:pStyle w:val="FirstParagraph"/>
      </w:pPr>
      <w:r>
        <w:rPr>
          <w:b/>
          <w:bCs/>
        </w:rPr>
        <w:t>Material Handling and Cranage</w:t>
      </w:r>
    </w:p>
    <w:p w14:paraId="33A02211" w14:textId="77777777" w:rsidR="00990844" w:rsidRDefault="00000000">
      <w:pPr>
        <w:pStyle w:val="BodyText"/>
      </w:pPr>
      <w:r>
        <w:t>To minimize disruption to the surrounding road network, we have designed the site layout to accommodate all lifting operations within the hoarding line.</w:t>
      </w:r>
    </w:p>
    <w:p w14:paraId="2147A81D" w14:textId="77777777" w:rsidR="00990844" w:rsidRDefault="00000000">
      <w:pPr>
        <w:pStyle w:val="Compact"/>
        <w:numPr>
          <w:ilvl w:val="0"/>
          <w:numId w:val="18"/>
        </w:numPr>
      </w:pPr>
      <w:r>
        <w:rPr>
          <w:b/>
          <w:bCs/>
        </w:rPr>
        <w:t>Internal Crane Setup:</w:t>
      </w:r>
      <w:r>
        <w:t xml:space="preserve"> We will establish a 50T mobile crane within the designated compound area on the reinforced raft slab or certified crane pads. This eliminates the need for mobile cranes to set up on Eucalyptus Drive, avoiding public road closures and preserving street parking for library patrons.</w:t>
      </w:r>
    </w:p>
    <w:p w14:paraId="55093461" w14:textId="77777777" w:rsidR="00990844" w:rsidRDefault="00000000">
      <w:pPr>
        <w:pStyle w:val="Compact"/>
        <w:numPr>
          <w:ilvl w:val="0"/>
          <w:numId w:val="18"/>
        </w:numPr>
      </w:pPr>
      <w:r>
        <w:rPr>
          <w:b/>
          <w:bCs/>
        </w:rPr>
        <w:t>Steel Erection:</w:t>
      </w:r>
      <w:r>
        <w:t xml:space="preserve"> The structural steel portal frame erection will proceed from the rear of the site moving forward, allowing the crane to retreat towards the exit gate as the structure completes.</w:t>
      </w:r>
    </w:p>
    <w:p w14:paraId="5D2B50E4" w14:textId="77777777" w:rsidR="00990844" w:rsidRDefault="00000000">
      <w:pPr>
        <w:pStyle w:val="Compact"/>
        <w:numPr>
          <w:ilvl w:val="0"/>
          <w:numId w:val="18"/>
        </w:numPr>
      </w:pPr>
      <w:r>
        <w:rPr>
          <w:b/>
          <w:bCs/>
        </w:rPr>
        <w:t>Just-in-Time Delivery:</w:t>
      </w:r>
      <w:r>
        <w:t xml:space="preserve"> Due to limited storage space, steel and cladding materials will be delivered on a “just-in-time” basis, lifted directly from the truck to the installation point where possible.</w:t>
      </w:r>
    </w:p>
    <w:p w14:paraId="61CB2AFE" w14:textId="77777777" w:rsidR="00990844" w:rsidRDefault="00000000">
      <w:pPr>
        <w:pStyle w:val="FirstParagraph"/>
      </w:pPr>
      <w:r>
        <w:rPr>
          <w:b/>
          <w:bCs/>
        </w:rPr>
        <w:lastRenderedPageBreak/>
        <w:t>Waste Management and Hazardous Materials</w:t>
      </w:r>
    </w:p>
    <w:p w14:paraId="4A3D4F41" w14:textId="77777777" w:rsidR="00990844" w:rsidRDefault="00000000">
      <w:pPr>
        <w:pStyle w:val="BodyText"/>
      </w:pPr>
      <w:r>
        <w:t>We implement a rigorous waste management strategy compliant with our ISO 14001 certification and the Safework Australia Code of Practice 2016.</w:t>
      </w:r>
    </w:p>
    <w:p w14:paraId="2D16498E" w14:textId="77777777" w:rsidR="00990844" w:rsidRDefault="00000000">
      <w:pPr>
        <w:pStyle w:val="Compact"/>
        <w:numPr>
          <w:ilvl w:val="0"/>
          <w:numId w:val="19"/>
        </w:numPr>
      </w:pPr>
      <w:r>
        <w:rPr>
          <w:b/>
          <w:bCs/>
        </w:rPr>
        <w:t>Asbestos Removal:</w:t>
      </w:r>
      <w:r>
        <w:t xml:space="preserve"> We have identified Asbestos Containing Materials (ACM) in the hazardous materials register. A Class A licensed asbestos removalist will remove these materials prior to the main demolition of the brick annex. We will utilize exclusion zones, negative air pressure units (if required for friable material), and air monitoring to ensure zero contamination.</w:t>
      </w:r>
    </w:p>
    <w:p w14:paraId="4B10975D" w14:textId="77777777" w:rsidR="00990844" w:rsidRDefault="00000000">
      <w:pPr>
        <w:pStyle w:val="Compact"/>
        <w:numPr>
          <w:ilvl w:val="0"/>
          <w:numId w:val="19"/>
        </w:numPr>
      </w:pPr>
      <w:r>
        <w:rPr>
          <w:b/>
          <w:bCs/>
        </w:rPr>
        <w:t>Segregation:</w:t>
      </w:r>
      <w:r>
        <w:t xml:space="preserve"> We target a 90% diversion rate from landfill. Dedicated skips for concrete, timber, and steel will be positioned within the compound.</w:t>
      </w:r>
    </w:p>
    <w:p w14:paraId="568BAF43" w14:textId="77777777" w:rsidR="00990844" w:rsidRDefault="00000000">
      <w:pPr>
        <w:pStyle w:val="Compact"/>
        <w:numPr>
          <w:ilvl w:val="0"/>
          <w:numId w:val="19"/>
        </w:numPr>
      </w:pPr>
      <w:r>
        <w:rPr>
          <w:b/>
          <w:bCs/>
        </w:rPr>
        <w:t>Sediment Control:</w:t>
      </w:r>
      <w:r>
        <w:t xml:space="preserve"> We will install silt fences and coir logs around all stormwater pits and along the lower boundary to prevent sediment runoff into the council’s stormwater system.</w:t>
      </w:r>
    </w:p>
    <w:p w14:paraId="47CF8D6F" w14:textId="77777777" w:rsidR="00990844" w:rsidRDefault="00000000">
      <w:pPr>
        <w:pStyle w:val="Heading2"/>
      </w:pPr>
      <w:bookmarkStart w:id="58" w:name="_Toc218961940"/>
      <w:bookmarkStart w:id="59" w:name="schedule-2.3-key-personnel"/>
      <w:bookmarkEnd w:id="51"/>
      <w:bookmarkEnd w:id="57"/>
      <w:r>
        <w:t>Schedule 2.3: Key Personnel</w:t>
      </w:r>
      <w:bookmarkEnd w:id="58"/>
    </w:p>
    <w:p w14:paraId="0071AAFA" w14:textId="77777777" w:rsidR="00990844" w:rsidRDefault="00000000">
      <w:pPr>
        <w:pStyle w:val="FirstParagraph"/>
      </w:pPr>
      <w:r>
        <w:t xml:space="preserve">Apex Horizon presents a dedicated team available to commence immediately. Our key personnel possess shared experience delivering complex community infrastructure, including the </w:t>
      </w:r>
      <w:r>
        <w:rPr>
          <w:b/>
          <w:bCs/>
        </w:rPr>
        <w:t>Riverside Library</w:t>
      </w:r>
      <w:r>
        <w:t xml:space="preserve"> and </w:t>
      </w:r>
      <w:r>
        <w:rPr>
          <w:b/>
          <w:bCs/>
        </w:rPr>
        <w:t>Highland Medical Centre</w:t>
      </w:r>
      <w:r>
        <w:t>. This proven collaboration ensures a cohesive, low-risk delivery for Green Valley Regional Council.</w:t>
      </w:r>
    </w:p>
    <w:p w14:paraId="23B8EF85" w14:textId="77777777" w:rsidR="00990844" w:rsidRDefault="00000000">
      <w:pPr>
        <w:pStyle w:val="Heading3"/>
      </w:pPr>
      <w:bookmarkStart w:id="60" w:name="_Toc218961941"/>
      <w:bookmarkStart w:id="61" w:name="project-manager"/>
      <w:r>
        <w:t>Project Manager</w:t>
      </w:r>
      <w:bookmarkEnd w:id="60"/>
    </w:p>
    <w:p w14:paraId="08C98BBA" w14:textId="77777777" w:rsidR="00990844" w:rsidRDefault="00000000">
      <w:pPr>
        <w:pStyle w:val="FirstParagraph"/>
      </w:pPr>
      <w:r>
        <w:t>David Wu serves as Project Manager, bringing 15 years of industry experience to the Green Valley Civic Centre Upgrade. David retains ownership of the construction program, commercial reporting, and stakeholder management, ensuring the Council is informed at every critical milestone.</w:t>
      </w:r>
    </w:p>
    <w:p w14:paraId="37020559" w14:textId="77777777" w:rsidR="00990844" w:rsidRDefault="00000000">
      <w:pPr>
        <w:pStyle w:val="BodyText"/>
      </w:pPr>
      <w:r>
        <w:t>David’s expertise lies in delivering infrastructure within sensitive, live environments. On the West End Primary School project ($5.5M), David successfully managed the delivery of STEM facilities while the school remained fully operational. He implemented strict segregation protocols and coordinated high-risk activities outside school hours to ensure zero safety incidents.</w:t>
      </w:r>
    </w:p>
    <w:p w14:paraId="6393EDF3" w14:textId="77777777" w:rsidR="00990844" w:rsidRDefault="00000000">
      <w:pPr>
        <w:pStyle w:val="BodyText"/>
      </w:pPr>
      <w:r>
        <w:t>This experience is directly transferable to Green Valley, where David will manage the interface with the operational library. He ensures construction noise and logistics do not impact community access, guaranteeing operational continuity throughout the build. Full details of David’s qualifications and project history are provided in his attached CV.</w:t>
      </w:r>
    </w:p>
    <w:p w14:paraId="3D1C77DE" w14:textId="77777777" w:rsidR="00990844" w:rsidRDefault="00000000">
      <w:pPr>
        <w:pStyle w:val="Heading3"/>
      </w:pPr>
      <w:bookmarkStart w:id="62" w:name="_Toc218961942"/>
      <w:bookmarkStart w:id="63" w:name="site-foreman"/>
      <w:bookmarkEnd w:id="61"/>
      <w:r>
        <w:t>Site Foreman</w:t>
      </w:r>
      <w:bookmarkEnd w:id="62"/>
    </w:p>
    <w:p w14:paraId="082F4B68" w14:textId="77777777" w:rsidR="00990844" w:rsidRDefault="00000000">
      <w:pPr>
        <w:pStyle w:val="FirstParagraph"/>
      </w:pPr>
      <w:r>
        <w:t>Liam Byrne serves as Site Foreman, bringing 18 years of construction experience to the Green Valley Civic Centre Upgrade. A Licensed Plumber by trade, Liam provides critical technical oversight for the complex services components of this project, specifically the commercial kitchen fitout and amenities upgrades.</w:t>
      </w:r>
    </w:p>
    <w:p w14:paraId="196C7A66" w14:textId="77777777" w:rsidR="00990844" w:rsidRDefault="00000000">
      <w:pPr>
        <w:pStyle w:val="BodyText"/>
      </w:pPr>
      <w:r>
        <w:t>His technical background ensures precise management of hydraulic rough-ins, grease trap installations (2000L), and gas connections. Liam previously demonstrated this capability during the Ashfield Aquatic Centre project, where he successfully managed high-complexity service integrations within an operational environment. Liam maintains a 100% site presence throughout the 42-week program.</w:t>
      </w:r>
    </w:p>
    <w:p w14:paraId="71A05592" w14:textId="77777777" w:rsidR="00990844" w:rsidRDefault="00000000">
      <w:pPr>
        <w:pStyle w:val="BodyText"/>
      </w:pPr>
      <w:r>
        <w:t>His responsibilities include:</w:t>
      </w:r>
    </w:p>
    <w:p w14:paraId="2EFFBCEC" w14:textId="77777777" w:rsidR="00990844" w:rsidRDefault="00000000">
      <w:pPr>
        <w:pStyle w:val="Compact"/>
        <w:numPr>
          <w:ilvl w:val="0"/>
          <w:numId w:val="20"/>
        </w:numPr>
      </w:pPr>
      <w:r>
        <w:t>Coordinating daily trade activities and logistics.</w:t>
      </w:r>
    </w:p>
    <w:p w14:paraId="23FF7F61" w14:textId="77777777" w:rsidR="00990844" w:rsidRDefault="00000000">
      <w:pPr>
        <w:pStyle w:val="Compact"/>
        <w:numPr>
          <w:ilvl w:val="0"/>
          <w:numId w:val="20"/>
        </w:numPr>
      </w:pPr>
      <w:r>
        <w:t>Enforcing the Site Specific Safety Management Plan.</w:t>
      </w:r>
    </w:p>
    <w:p w14:paraId="1BC67752" w14:textId="77777777" w:rsidR="00990844" w:rsidRDefault="00000000">
      <w:pPr>
        <w:pStyle w:val="Compact"/>
        <w:numPr>
          <w:ilvl w:val="0"/>
          <w:numId w:val="20"/>
        </w:numPr>
      </w:pPr>
      <w:r>
        <w:t>Managing quality assurance hold points for hydraulic and mechanical services prior to wall linings.</w:t>
      </w:r>
    </w:p>
    <w:p w14:paraId="27DC386B" w14:textId="77777777" w:rsidR="00990844" w:rsidRDefault="00000000">
      <w:pPr>
        <w:pStyle w:val="Compact"/>
        <w:numPr>
          <w:ilvl w:val="0"/>
          <w:numId w:val="20"/>
        </w:numPr>
      </w:pPr>
      <w:r>
        <w:t>Ensuring zero disruption to the adjacent operational library.</w:t>
      </w:r>
    </w:p>
    <w:p w14:paraId="466D1A1E" w14:textId="77777777" w:rsidR="00990844" w:rsidRDefault="00000000">
      <w:pPr>
        <w:pStyle w:val="Heading3"/>
      </w:pPr>
      <w:bookmarkStart w:id="64" w:name="_Toc218961943"/>
      <w:bookmarkStart w:id="65" w:name="contracts-administrator"/>
      <w:bookmarkEnd w:id="63"/>
      <w:r>
        <w:t>Contracts Administrator</w:t>
      </w:r>
      <w:bookmarkEnd w:id="64"/>
    </w:p>
    <w:p w14:paraId="628FC20B" w14:textId="77777777" w:rsidR="00990844" w:rsidRDefault="00000000">
      <w:pPr>
        <w:pStyle w:val="FirstParagraph"/>
      </w:pPr>
      <w:r>
        <w:t>With 8 years of construction finance experience, Raj Patel ensures rigorous budget control and commercial transparency. As Contracts Administrator, he manages the entire financial lifecycle of the project, including procurement, progress claims, and variations.</w:t>
      </w:r>
    </w:p>
    <w:p w14:paraId="40141556" w14:textId="77777777" w:rsidR="00990844" w:rsidRDefault="00000000">
      <w:pPr>
        <w:pStyle w:val="BodyText"/>
      </w:pPr>
      <w:r>
        <w:lastRenderedPageBreak/>
        <w:t>Raj is an expert in “Value Engineering,” proactively identifying alternative materials or methodologies that deliver cost savings to the Principal without compromising the architectural scope. He ensures Green Valley Regional Council receives accurate, real-time financial data through detailed monthly reporting.</w:t>
      </w:r>
    </w:p>
    <w:p w14:paraId="5D8348F3" w14:textId="77777777" w:rsidR="00990844" w:rsidRDefault="00000000">
      <w:pPr>
        <w:pStyle w:val="BodyText"/>
      </w:pPr>
      <w:r>
        <w:t>His core responsibilities include:</w:t>
      </w:r>
    </w:p>
    <w:p w14:paraId="109281C6" w14:textId="77777777" w:rsidR="00990844" w:rsidRDefault="00000000">
      <w:pPr>
        <w:pStyle w:val="Compact"/>
        <w:numPr>
          <w:ilvl w:val="0"/>
          <w:numId w:val="21"/>
        </w:numPr>
      </w:pPr>
      <w:r>
        <w:t>Strict administration of the AS 4000-1997 contract mechanisms.</w:t>
      </w:r>
    </w:p>
    <w:p w14:paraId="5F894732" w14:textId="77777777" w:rsidR="00990844" w:rsidRDefault="00000000">
      <w:pPr>
        <w:pStyle w:val="Compact"/>
        <w:numPr>
          <w:ilvl w:val="0"/>
          <w:numId w:val="21"/>
        </w:numPr>
      </w:pPr>
      <w:r>
        <w:t>Management of subcontractor procurement to align with the critical path program.</w:t>
      </w:r>
    </w:p>
    <w:p w14:paraId="307D20D5" w14:textId="77777777" w:rsidR="00990844" w:rsidRDefault="00000000">
      <w:pPr>
        <w:pStyle w:val="Compact"/>
        <w:numPr>
          <w:ilvl w:val="0"/>
          <w:numId w:val="21"/>
        </w:numPr>
      </w:pPr>
      <w:r>
        <w:t>Detailed assessment of variations to ensure all costs are valid and substantiated.</w:t>
      </w:r>
    </w:p>
    <w:p w14:paraId="4B6152C9" w14:textId="77777777" w:rsidR="00990844" w:rsidRDefault="00000000">
      <w:pPr>
        <w:pStyle w:val="FirstParagraph"/>
      </w:pPr>
      <w:r>
        <w:t>Raj’s disciplined approach guarantees financial certainty, minimizing commercial risk and ensuring the project remains within the approved budget.</w:t>
      </w:r>
    </w:p>
    <w:p w14:paraId="6FB1C6D4" w14:textId="77777777" w:rsidR="00990844" w:rsidRDefault="00000000">
      <w:pPr>
        <w:pStyle w:val="Heading3"/>
      </w:pPr>
      <w:bookmarkStart w:id="66" w:name="_Toc218961944"/>
      <w:bookmarkStart w:id="67" w:name="whs-officer"/>
      <w:bookmarkEnd w:id="65"/>
      <w:r>
        <w:t>WHS Officer</w:t>
      </w:r>
      <w:bookmarkEnd w:id="66"/>
    </w:p>
    <w:p w14:paraId="12259CBE" w14:textId="77777777" w:rsidR="00990844" w:rsidRDefault="00000000">
      <w:pPr>
        <w:pStyle w:val="FirstParagraph"/>
      </w:pPr>
      <w:r>
        <w:t>Jessica Alcott (10 Years Experience) brings a distinct medical perspective to construction safety, leveraging her background as a former Registered Nurse to drive injury prevention. She combines this clinical understanding with rigorous experience on high-risk infrastructure projects, including the complex WestConnex delivery.</w:t>
      </w:r>
    </w:p>
    <w:p w14:paraId="47FAE3E3" w14:textId="77777777" w:rsidR="00990844" w:rsidRDefault="00000000">
      <w:pPr>
        <w:pStyle w:val="BodyText"/>
      </w:pPr>
      <w:r>
        <w:t>For this project, Jessica will oversee the Site-Specific Safety Management Plan and manage the approval process for all Safe Work Method Statements (SWMS) prior to works commencing. She will conduct mandatory weekly site audits to ensure strict compliance with our ISO 45001:2018 certified system. Her proactive approach ensures that high-risk activities, particularly regarding asbestos removal and public interface management, are executed with clinical precision to protect both workers and the Green Valley community.</w:t>
      </w:r>
    </w:p>
    <w:p w14:paraId="7F056483" w14:textId="77777777" w:rsidR="00990844" w:rsidRDefault="00000000">
      <w:pPr>
        <w:pStyle w:val="Heading3"/>
      </w:pPr>
      <w:bookmarkStart w:id="68" w:name="_Toc218961945"/>
      <w:bookmarkStart w:id="69" w:name="team-capacity-statement"/>
      <w:bookmarkEnd w:id="67"/>
      <w:r>
        <w:t>Team Capacity Statement</w:t>
      </w:r>
      <w:bookmarkEnd w:id="68"/>
    </w:p>
    <w:p w14:paraId="0CEDE8C2" w14:textId="77777777" w:rsidR="00990844" w:rsidRDefault="00000000">
      <w:pPr>
        <w:pStyle w:val="FirstParagraph"/>
      </w:pPr>
      <w:r>
        <w:t>Apex Horizon Constructions confirms immediate operational capacity to undertake the Green Valley Civic Centre Upgrade. We strictly adhere to a resource management policy that prevents overloading project teams, ensuring our key staff remain focused on a single major delivery at a time.</w:t>
      </w:r>
    </w:p>
    <w:p w14:paraId="1E0714FF" w14:textId="77777777" w:rsidR="00990844" w:rsidRDefault="00000000">
      <w:pPr>
        <w:pStyle w:val="BodyText"/>
      </w:pPr>
      <w:r>
        <w:t>Our proposed leadership team is scheduled for a seamless transition to this project. Project Manager David Wu and Foreman Liam Byrne are currently finalizing the Riverside and West End projects, respectively. Both are in the final handover stages, ensuring they are fully available for the Green Valley site possession date.</w:t>
      </w:r>
    </w:p>
    <w:p w14:paraId="10BD4F29" w14:textId="77777777" w:rsidR="00990844" w:rsidRDefault="00000000">
      <w:pPr>
        <w:pStyle w:val="BodyText"/>
      </w:pPr>
      <w:r>
        <w:t>With a current annual turnover of $65 million and a bonding facility of $30 million, Apex Horizon maintains the financial stability and personnel depth to deliver this critical community infrastructure without compromising quality or program performance.</w:t>
      </w:r>
    </w:p>
    <w:p w14:paraId="4992872D" w14:textId="77777777" w:rsidR="00990844" w:rsidRDefault="00000000">
      <w:pPr>
        <w:pStyle w:val="Heading2"/>
      </w:pPr>
      <w:bookmarkStart w:id="70" w:name="_Toc218961946"/>
      <w:bookmarkStart w:id="71" w:name="schedule-2.4-whs-and-quality-assurance"/>
      <w:bookmarkEnd w:id="59"/>
      <w:bookmarkEnd w:id="69"/>
      <w:r>
        <w:t>Schedule 2.4: WHS and Quality Assurance</w:t>
      </w:r>
      <w:bookmarkEnd w:id="70"/>
    </w:p>
    <w:p w14:paraId="1558946E" w14:textId="77777777" w:rsidR="00990844" w:rsidRDefault="00000000">
      <w:pPr>
        <w:pStyle w:val="FirstParagraph"/>
      </w:pPr>
      <w:r>
        <w:t>Apex Horizon operates under a robust Integrated Management System (IMS) certified by Global Mark, ensuring consistent delivery standards. Our third-party certifications include:</w:t>
      </w:r>
    </w:p>
    <w:p w14:paraId="0242F397" w14:textId="77777777" w:rsidR="00990844" w:rsidRDefault="00000000">
      <w:pPr>
        <w:pStyle w:val="Compact"/>
        <w:numPr>
          <w:ilvl w:val="0"/>
          <w:numId w:val="22"/>
        </w:numPr>
      </w:pPr>
      <w:r>
        <w:rPr>
          <w:b/>
          <w:bCs/>
        </w:rPr>
        <w:t>Quality:</w:t>
      </w:r>
      <w:r>
        <w:t xml:space="preserve"> ISO 9001:2015</w:t>
      </w:r>
    </w:p>
    <w:p w14:paraId="5D87A119" w14:textId="77777777" w:rsidR="00990844" w:rsidRDefault="00000000">
      <w:pPr>
        <w:pStyle w:val="Compact"/>
        <w:numPr>
          <w:ilvl w:val="0"/>
          <w:numId w:val="22"/>
        </w:numPr>
      </w:pPr>
      <w:r>
        <w:rPr>
          <w:b/>
          <w:bCs/>
        </w:rPr>
        <w:t>Safety:</w:t>
      </w:r>
      <w:r>
        <w:t xml:space="preserve"> ISO 45001:2018</w:t>
      </w:r>
    </w:p>
    <w:p w14:paraId="373C3399" w14:textId="77777777" w:rsidR="00990844" w:rsidRDefault="00000000">
      <w:pPr>
        <w:pStyle w:val="Compact"/>
        <w:numPr>
          <w:ilvl w:val="0"/>
          <w:numId w:val="22"/>
        </w:numPr>
      </w:pPr>
      <w:r>
        <w:rPr>
          <w:b/>
          <w:bCs/>
        </w:rPr>
        <w:t>Environment:</w:t>
      </w:r>
      <w:r>
        <w:t xml:space="preserve"> ISO 14001:2015</w:t>
      </w:r>
    </w:p>
    <w:p w14:paraId="1B943433" w14:textId="77777777" w:rsidR="00990844" w:rsidRDefault="00000000">
      <w:pPr>
        <w:pStyle w:val="Heading3"/>
      </w:pPr>
      <w:bookmarkStart w:id="72" w:name="_Toc218961947"/>
      <w:bookmarkStart w:id="73" w:name="whs-management-system"/>
      <w:r>
        <w:t>WHS Management System</w:t>
      </w:r>
      <w:bookmarkEnd w:id="72"/>
    </w:p>
    <w:p w14:paraId="1FA3442C" w14:textId="77777777" w:rsidR="00990844" w:rsidRDefault="00000000">
      <w:pPr>
        <w:pStyle w:val="FirstParagraph"/>
      </w:pPr>
      <w:r>
        <w:t xml:space="preserve">Apex Horizon Constructions operates under a mature Integrated Management System (IMS), third-party certified to </w:t>
      </w:r>
      <w:r>
        <w:rPr>
          <w:b/>
          <w:bCs/>
        </w:rPr>
        <w:t>ISO 45001:2018</w:t>
      </w:r>
      <w:r>
        <w:t>. We maintain a safety-first culture, demonstrated by our Lost Time Injury (LTI) Frequency Rate of 0.0 over the past three years.</w:t>
      </w:r>
    </w:p>
    <w:p w14:paraId="557B15F0" w14:textId="77777777" w:rsidR="00990844" w:rsidRDefault="00000000">
      <w:pPr>
        <w:pStyle w:val="BodyText"/>
      </w:pPr>
      <w:r>
        <w:t>For the Green Valley Civic Centre upgrade, we implement targeted controls to manage critical site risks:</w:t>
      </w:r>
    </w:p>
    <w:p w14:paraId="6E057CBD" w14:textId="77777777" w:rsidR="00990844" w:rsidRDefault="00000000">
      <w:pPr>
        <w:pStyle w:val="Compact"/>
        <w:numPr>
          <w:ilvl w:val="0"/>
          <w:numId w:val="23"/>
        </w:numPr>
      </w:pPr>
      <w:r>
        <w:rPr>
          <w:b/>
          <w:bCs/>
        </w:rPr>
        <w:t>Hazardous Materials:</w:t>
      </w:r>
      <w:r>
        <w:t xml:space="preserve"> All asbestos removal identified in the Hazardous Materials Register will be executed in strict compliance with the </w:t>
      </w:r>
      <w:r>
        <w:rPr>
          <w:i/>
          <w:iCs/>
        </w:rPr>
        <w:t>Safework Australia Code of Practice 2016</w:t>
      </w:r>
      <w:r>
        <w:t>. We utilize licensed removalists and independent air monitoring to ensure zero contamination risk.</w:t>
      </w:r>
    </w:p>
    <w:p w14:paraId="638F55B8" w14:textId="77777777" w:rsidR="00990844" w:rsidRDefault="00000000">
      <w:pPr>
        <w:pStyle w:val="Compact"/>
        <w:numPr>
          <w:ilvl w:val="0"/>
          <w:numId w:val="23"/>
        </w:numPr>
      </w:pPr>
      <w:r>
        <w:rPr>
          <w:b/>
          <w:bCs/>
        </w:rPr>
        <w:lastRenderedPageBreak/>
        <w:t>Public Safety:</w:t>
      </w:r>
      <w:r>
        <w:t xml:space="preserve"> Recognizing the operational continuity of the adjacent Library, we manage public interaction through physical isolation. We will install Class A solid hoardings to separate construction activities from community areas, ensuring patron safety.</w:t>
      </w:r>
    </w:p>
    <w:p w14:paraId="0CD865D0" w14:textId="77777777" w:rsidR="00990844" w:rsidRDefault="00000000">
      <w:pPr>
        <w:pStyle w:val="Compact"/>
        <w:numPr>
          <w:ilvl w:val="0"/>
          <w:numId w:val="23"/>
        </w:numPr>
      </w:pPr>
      <w:r>
        <w:rPr>
          <w:b/>
          <w:bCs/>
        </w:rPr>
        <w:t>Digital Inductions:</w:t>
      </w:r>
      <w:r>
        <w:t xml:space="preserve"> We utilize the </w:t>
      </w:r>
      <w:r>
        <w:rPr>
          <w:b/>
          <w:bCs/>
        </w:rPr>
        <w:t>SafeSite</w:t>
      </w:r>
      <w:r>
        <w:t xml:space="preserve"> application to streamline compliance. This platform mandates digital inductions and credential verification for all personnel prior to entry, ensuring 100% adherence to our safety standards from day one.</w:t>
      </w:r>
    </w:p>
    <w:p w14:paraId="64C69A9A" w14:textId="77777777" w:rsidR="00990844" w:rsidRDefault="00000000">
      <w:pPr>
        <w:pStyle w:val="Heading3"/>
      </w:pPr>
      <w:bookmarkStart w:id="74" w:name="_Toc218961948"/>
      <w:bookmarkStart w:id="75" w:name="quality-management-system"/>
      <w:bookmarkEnd w:id="73"/>
      <w:r>
        <w:t>Quality Management System</w:t>
      </w:r>
      <w:bookmarkEnd w:id="74"/>
    </w:p>
    <w:p w14:paraId="3225EF12" w14:textId="77777777" w:rsidR="00990844" w:rsidRDefault="00000000">
      <w:pPr>
        <w:pStyle w:val="FirstParagraph"/>
      </w:pPr>
      <w:r>
        <w:t xml:space="preserve">Apex Horizon Constructions operates under a robust Integrated Management System (IMS) certified to </w:t>
      </w:r>
      <w:r>
        <w:rPr>
          <w:b/>
          <w:bCs/>
        </w:rPr>
        <w:t>ISO 9001:2015</w:t>
      </w:r>
      <w:r>
        <w:t xml:space="preserve"> by Global Mark. We deliver the Green Valley Civic Centre Upgrade using a “Right First Time” methodology, ensuring all works meet the National Construction Code and project specifications.</w:t>
      </w:r>
    </w:p>
    <w:p w14:paraId="7451594E" w14:textId="77777777" w:rsidR="00990844" w:rsidRDefault="00000000">
      <w:pPr>
        <w:pStyle w:val="BodyText"/>
      </w:pPr>
      <w:r>
        <w:t>Our quality assurance process relies on detailed Inspection &amp; Test Plans (ITPs) for all critical trade packages. For this project, specific ITPs will cover:</w:t>
      </w:r>
    </w:p>
    <w:p w14:paraId="6FDC0862" w14:textId="77777777" w:rsidR="00990844" w:rsidRDefault="00000000">
      <w:pPr>
        <w:pStyle w:val="Compact"/>
        <w:numPr>
          <w:ilvl w:val="0"/>
          <w:numId w:val="24"/>
        </w:numPr>
      </w:pPr>
      <w:r>
        <w:rPr>
          <w:b/>
          <w:bCs/>
        </w:rPr>
        <w:t>Concrete:</w:t>
      </w:r>
      <w:r>
        <w:t xml:space="preserve"> Pre-pour inspections of reinforcement and formwork, plus post-pour curing verification.</w:t>
      </w:r>
    </w:p>
    <w:p w14:paraId="673A8BF7" w14:textId="77777777" w:rsidR="00990844" w:rsidRDefault="00000000">
      <w:pPr>
        <w:pStyle w:val="Compact"/>
        <w:numPr>
          <w:ilvl w:val="0"/>
          <w:numId w:val="24"/>
        </w:numPr>
      </w:pPr>
      <w:r>
        <w:rPr>
          <w:b/>
          <w:bCs/>
        </w:rPr>
        <w:t>Waterproofing:</w:t>
      </w:r>
      <w:r>
        <w:t xml:space="preserve"> Substrate preparation checks and independent certification of membranes before covering.</w:t>
      </w:r>
    </w:p>
    <w:p w14:paraId="4C186004" w14:textId="77777777" w:rsidR="00990844" w:rsidRDefault="00000000">
      <w:pPr>
        <w:pStyle w:val="Compact"/>
        <w:numPr>
          <w:ilvl w:val="0"/>
          <w:numId w:val="24"/>
        </w:numPr>
      </w:pPr>
      <w:r>
        <w:rPr>
          <w:b/>
          <w:bCs/>
        </w:rPr>
        <w:t>Roofing:</w:t>
      </w:r>
      <w:r>
        <w:t xml:space="preserve"> Verification of laps, fixings, and insulation continuity for the Lysaght Klip-Lok system.</w:t>
      </w:r>
    </w:p>
    <w:p w14:paraId="5E2858C3" w14:textId="77777777" w:rsidR="00990844" w:rsidRDefault="00000000">
      <w:pPr>
        <w:pStyle w:val="FirstParagraph"/>
      </w:pPr>
      <w:r>
        <w:t xml:space="preserve">We utilize </w:t>
      </w:r>
      <w:r>
        <w:rPr>
          <w:b/>
          <w:bCs/>
        </w:rPr>
        <w:t>Procore</w:t>
      </w:r>
      <w:r>
        <w:t xml:space="preserve"> as our central digital platform for real-time quality tracking. This cloud-based tool manages all ITP checklists and enforces strict Hold Points. Work cannot proceed past a Hold Point until compliance is verified and photographic evidence is uploaded. Procore also facilitates immediate defect capturing and rectification tracking, ensuring a defect-free handover to the Council.</w:t>
      </w:r>
    </w:p>
    <w:p w14:paraId="4CE20C7A" w14:textId="77777777" w:rsidR="00990844" w:rsidRDefault="00000000">
      <w:pPr>
        <w:pStyle w:val="Heading3"/>
      </w:pPr>
      <w:bookmarkStart w:id="76" w:name="_Toc218961949"/>
      <w:bookmarkStart w:id="77" w:name="lti-frequency-rate"/>
      <w:bookmarkEnd w:id="75"/>
      <w:r>
        <w:t>LTI Frequency Rate</w:t>
      </w:r>
      <w:bookmarkEnd w:id="76"/>
    </w:p>
    <w:p w14:paraId="170583C8" w14:textId="77777777" w:rsidR="00990844" w:rsidRDefault="00000000">
      <w:pPr>
        <w:pStyle w:val="FirstParagraph"/>
      </w:pPr>
      <w:r>
        <w:t xml:space="preserve">Apex Horizon maintains a Lost Time Injury (LTI) Frequency Rate of 0.0 for the past 12 months, continuing a three-year zero-harm record. SafeGuard Assurance Services verified this statistic in our </w:t>
      </w:r>
      <w:r>
        <w:rPr>
          <w:i/>
          <w:iCs/>
        </w:rPr>
        <w:t>Annual Safety Audit Report 2024</w:t>
      </w:r>
      <w:r>
        <w:t>, confirming the effectiveness of our ISO 45001 safety management system. This metric demonstrates that we not only have the systems in place but also the safety culture to protect workers and the public effectively.</w:t>
      </w:r>
    </w:p>
    <w:p w14:paraId="499D52DE" w14:textId="77777777" w:rsidR="00990844" w:rsidRDefault="00000000">
      <w:pPr>
        <w:pStyle w:val="Heading2"/>
      </w:pPr>
      <w:bookmarkStart w:id="78" w:name="_Toc218961950"/>
      <w:bookmarkStart w:id="79" w:name="local-industry-participation"/>
      <w:bookmarkEnd w:id="71"/>
      <w:bookmarkEnd w:id="77"/>
      <w:r>
        <w:t>Local Industry Participation</w:t>
      </w:r>
      <w:bookmarkEnd w:id="78"/>
    </w:p>
    <w:p w14:paraId="3380E5DE" w14:textId="77777777" w:rsidR="00990844" w:rsidRDefault="00000000">
      <w:pPr>
        <w:pStyle w:val="FirstParagraph"/>
      </w:pPr>
      <w:r>
        <w:t>Apex Horizon Constructions prioritizes the economic growth of the communities in which we build. For the Green Valley Civic Centre Upgrade, we maintain a strict policy to prioritize subcontractors and suppliers located within a 50km radius of Green Valley. We understand that local procurement reduces carbon footprint through shorter travel times and ensures rapid response times for maintenance and warranties.</w:t>
      </w:r>
    </w:p>
    <w:p w14:paraId="72FF399B" w14:textId="77777777" w:rsidR="00990844" w:rsidRDefault="00000000">
      <w:pPr>
        <w:pStyle w:val="Heading3"/>
      </w:pPr>
      <w:bookmarkStart w:id="80" w:name="_Toc218961951"/>
      <w:bookmarkStart w:id="81" w:name="procurement-targets"/>
      <w:r>
        <w:t>Procurement Targets</w:t>
      </w:r>
      <w:bookmarkEnd w:id="80"/>
    </w:p>
    <w:p w14:paraId="4451E5D8" w14:textId="77777777" w:rsidR="00990844" w:rsidRDefault="00000000">
      <w:pPr>
        <w:pStyle w:val="FirstParagraph"/>
      </w:pPr>
      <w:r>
        <w:t xml:space="preserve">We have established a measurable target to direct over </w:t>
      </w:r>
      <w:r>
        <w:rPr>
          <w:b/>
          <w:bCs/>
        </w:rPr>
        <w:t>40% of the total contract value</w:t>
      </w:r>
      <w:r>
        <w:t xml:space="preserve"> to local businesses. To achieve this, we utilize a specific procurement strategy designed to support Small to Medium Enterprises (SMEs):</w:t>
      </w:r>
    </w:p>
    <w:p w14:paraId="14EB7719" w14:textId="77777777" w:rsidR="00990844" w:rsidRDefault="00000000">
      <w:pPr>
        <w:pStyle w:val="Compact"/>
        <w:numPr>
          <w:ilvl w:val="0"/>
          <w:numId w:val="25"/>
        </w:numPr>
      </w:pPr>
      <w:r>
        <w:rPr>
          <w:b/>
          <w:bCs/>
        </w:rPr>
        <w:t>Unbundling Packages:</w:t>
      </w:r>
      <w:r>
        <w:t xml:space="preserve"> We break down large trade packages into manageable scopes. For example, rather than bundling all external works into a single contract, we will separate Landscaping, Paving, and Fencing. This allows local SMEs to tender competitively for specific elements without requiring the balance sheet of a large multi-national contractor.</w:t>
      </w:r>
    </w:p>
    <w:p w14:paraId="2844B594" w14:textId="77777777" w:rsidR="00990844" w:rsidRDefault="00000000">
      <w:pPr>
        <w:pStyle w:val="Compact"/>
        <w:numPr>
          <w:ilvl w:val="0"/>
          <w:numId w:val="25"/>
        </w:numPr>
      </w:pPr>
      <w:r>
        <w:rPr>
          <w:b/>
          <w:bCs/>
        </w:rPr>
        <w:t>Trade Focus:</w:t>
      </w:r>
      <w:r>
        <w:t xml:space="preserve"> We specifically target local capacity for Painting, Electrical, Joinery, and Landscaping packages.</w:t>
      </w:r>
    </w:p>
    <w:p w14:paraId="6EF6AAC8" w14:textId="77777777" w:rsidR="00990844" w:rsidRDefault="00000000">
      <w:pPr>
        <w:pStyle w:val="Heading3"/>
      </w:pPr>
      <w:bookmarkStart w:id="82" w:name="_Toc218961952"/>
      <w:bookmarkStart w:id="83" w:name="indigenous-participation"/>
      <w:bookmarkEnd w:id="81"/>
      <w:r>
        <w:t>Indigenous Participation</w:t>
      </w:r>
      <w:bookmarkEnd w:id="82"/>
    </w:p>
    <w:p w14:paraId="0802A775" w14:textId="77777777" w:rsidR="00990844" w:rsidRDefault="00000000">
      <w:pPr>
        <w:pStyle w:val="FirstParagraph"/>
      </w:pPr>
      <w:r>
        <w:t xml:space="preserve">Apex Horizon is committed to supplier diversity and closing the gap for Indigenous businesses. We have an established partnership with </w:t>
      </w:r>
      <w:r>
        <w:rPr>
          <w:b/>
          <w:bCs/>
        </w:rPr>
        <w:t>Metro Waste</w:t>
      </w:r>
      <w:r>
        <w:t>, an Indigenous-owned business, which we will engage for waste management services on this project. This ensures that the project’s environmental sustainability efforts also drive social sustainability outcomes.</w:t>
      </w:r>
    </w:p>
    <w:p w14:paraId="68DEDD16" w14:textId="77777777" w:rsidR="00990844" w:rsidRDefault="00000000">
      <w:pPr>
        <w:pStyle w:val="Heading3"/>
      </w:pPr>
      <w:bookmarkStart w:id="84" w:name="_Toc218961953"/>
      <w:bookmarkStart w:id="85" w:name="skills-and-training"/>
      <w:bookmarkEnd w:id="83"/>
      <w:r>
        <w:t>Skills and Training</w:t>
      </w:r>
      <w:bookmarkEnd w:id="84"/>
    </w:p>
    <w:p w14:paraId="48D48DED" w14:textId="77777777" w:rsidR="00990844" w:rsidRDefault="00000000">
      <w:pPr>
        <w:pStyle w:val="FirstParagraph"/>
      </w:pPr>
      <w:r>
        <w:t>Our commitment extends beyond contracts to educational opportunities. We view the construction site as a learning environment. Building on our successful delivery of the Riverside Library &amp; Digital Hub, where we hosted three site tours for TAFE apprentices during the build, we will implement the same initiative for Green Valley.</w:t>
      </w:r>
    </w:p>
    <w:p w14:paraId="1D559D62" w14:textId="77777777" w:rsidR="00990844" w:rsidRDefault="00000000">
      <w:pPr>
        <w:pStyle w:val="BodyText"/>
      </w:pPr>
      <w:r>
        <w:lastRenderedPageBreak/>
        <w:t>We will coordinate site walks for local TAFE students, offering practical exposure to commercial construction methodology, safety management (ISO 45001), and structural steel installation. This initiative supports the development of the next generation of local tradespeople.</w:t>
      </w:r>
    </w:p>
    <w:p w14:paraId="78837BBC" w14:textId="77777777" w:rsidR="00990844" w:rsidRDefault="00000000">
      <w:pPr>
        <w:pStyle w:val="Heading1"/>
      </w:pPr>
      <w:bookmarkStart w:id="86" w:name="_Toc218961954"/>
      <w:bookmarkStart w:id="87" w:name="volume-3-supporting-documentation"/>
      <w:bookmarkEnd w:id="41"/>
      <w:bookmarkEnd w:id="79"/>
      <w:bookmarkEnd w:id="85"/>
      <w:r>
        <w:t>Volume 3: Supporting Documentation</w:t>
      </w:r>
      <w:bookmarkEnd w:id="86"/>
    </w:p>
    <w:p w14:paraId="672ED1E8" w14:textId="77777777" w:rsidR="00990844" w:rsidRDefault="00000000">
      <w:pPr>
        <w:pStyle w:val="FirstParagraph"/>
      </w:pPr>
      <w:r>
        <w:t>This volume presents essential supporting evidence for our tender submission. It demonstrates Apex Horizon Constructions’ capability through our Company Profile and detailed Case Studies. These documents substantiate our experience delivering high-quality civic and community infrastructure similar to the Green Valley Civic Centre.</w:t>
      </w:r>
    </w:p>
    <w:p w14:paraId="0A379FCE" w14:textId="77777777" w:rsidR="00990844" w:rsidRDefault="00000000">
      <w:pPr>
        <w:pStyle w:val="Heading2"/>
      </w:pPr>
      <w:bookmarkStart w:id="88" w:name="_Toc218961955"/>
      <w:bookmarkStart w:id="89" w:name="company-profile"/>
      <w:r>
        <w:t>Company Profile</w:t>
      </w:r>
      <w:bookmarkEnd w:id="88"/>
    </w:p>
    <w:p w14:paraId="12FA523E" w14:textId="77777777" w:rsidR="00990844" w:rsidRDefault="00000000">
      <w:pPr>
        <w:pStyle w:val="FirstParagraph"/>
      </w:pPr>
      <w:r>
        <w:t>Apex Horizon Constructions is a specialized mid-tier construction company focused on government, community, and commercial infrastructure. Founded in 2005, we have delivered over $400 million in projects across the state, establishing a reputation for technical excellence and collaborative delivery.</w:t>
      </w:r>
    </w:p>
    <w:p w14:paraId="2831D50A" w14:textId="77777777" w:rsidR="00990844" w:rsidRDefault="00000000">
      <w:pPr>
        <w:pStyle w:val="BodyText"/>
      </w:pPr>
      <w:r>
        <w:t>Our philosophy, “Build with Integrity,” drives our approach to public infrastructure. We partner with local councils and government bodies to deliver facilities that serve communities for generations. We maintain a strong balance sheet with zero debt and a bonding facility of $30 million, ensuring financial stability throughout the project lifecycle.</w:t>
      </w:r>
    </w:p>
    <w:p w14:paraId="1AC6A32C" w14:textId="77777777" w:rsidR="00990844" w:rsidRDefault="00000000">
      <w:pPr>
        <w:pStyle w:val="BodyText"/>
      </w:pPr>
      <w:r>
        <w:rPr>
          <w:b/>
          <w:bCs/>
        </w:rPr>
        <w:t>Company Directors</w:t>
      </w:r>
    </w:p>
    <w:p w14:paraId="516E8DD9" w14:textId="77777777" w:rsidR="00990844" w:rsidRDefault="00000000">
      <w:pPr>
        <w:pStyle w:val="BodyText"/>
      </w:pPr>
      <w:r>
        <w:t>Our leadership team brings Tier 1 discipline to the mid-tier market:</w:t>
      </w:r>
    </w:p>
    <w:p w14:paraId="1944A6E2" w14:textId="77777777" w:rsidR="00990844" w:rsidRDefault="00000000">
      <w:pPr>
        <w:pStyle w:val="Compact"/>
        <w:numPr>
          <w:ilvl w:val="0"/>
          <w:numId w:val="26"/>
        </w:numPr>
      </w:pPr>
      <w:r>
        <w:rPr>
          <w:b/>
          <w:bCs/>
        </w:rPr>
        <w:t>James Sterling (Managing Director):</w:t>
      </w:r>
      <w:r>
        <w:t xml:space="preserve"> A Civil Engineer with over 30 years of construction experience. James founded Apex Horizon to combine structural expertise with rigorous project management.</w:t>
      </w:r>
    </w:p>
    <w:p w14:paraId="79C2F8E6" w14:textId="77777777" w:rsidR="00990844" w:rsidRDefault="00000000">
      <w:pPr>
        <w:pStyle w:val="Compact"/>
        <w:numPr>
          <w:ilvl w:val="0"/>
          <w:numId w:val="26"/>
        </w:numPr>
      </w:pPr>
      <w:r>
        <w:rPr>
          <w:b/>
          <w:bCs/>
        </w:rPr>
        <w:t>Sarah Jenkins (Construction Director):</w:t>
      </w:r>
      <w:r>
        <w:t xml:space="preserve"> With a background in Architecture and Project Management, Sarah oversees all site operations to ensure design intent is accurately translated into the built form.</w:t>
      </w:r>
    </w:p>
    <w:p w14:paraId="47D396BA" w14:textId="77777777" w:rsidR="00990844" w:rsidRDefault="00000000">
      <w:pPr>
        <w:pStyle w:val="FirstParagraph"/>
      </w:pPr>
      <w:r>
        <w:rPr>
          <w:b/>
          <w:bCs/>
        </w:rPr>
        <w:t>Certainty of Delivery</w:t>
      </w:r>
    </w:p>
    <w:p w14:paraId="1B4A2B20" w14:textId="77777777" w:rsidR="00990844" w:rsidRDefault="00000000">
      <w:pPr>
        <w:pStyle w:val="BodyText"/>
      </w:pPr>
      <w:r>
        <w:t>Apex Horizon provides Green Valley Regional Council with a low-risk delivery partner. We employ 85 full-time staff and operate under an Integrated Management System (IMS) certified to ISO 9001 (Quality), ISO 45001 (Safety), and ISO 14001 (Environment). Our track record demonstrates our reliability: we have never failed to complete a project, and we have never triggered liquidated damages on any contract. This history of performance ensures that the Green Valley Civic Centre Upgrade will be delivered on time, within budget, and to the highest quality standards.</w:t>
      </w:r>
    </w:p>
    <w:p w14:paraId="07651E08" w14:textId="77777777" w:rsidR="00990844" w:rsidRDefault="00000000">
      <w:pPr>
        <w:pStyle w:val="Heading2"/>
      </w:pPr>
      <w:bookmarkStart w:id="90" w:name="_Toc218961956"/>
      <w:bookmarkStart w:id="91" w:name="case-studies"/>
      <w:bookmarkEnd w:id="89"/>
      <w:r>
        <w:t>Case Studies</w:t>
      </w:r>
      <w:bookmarkEnd w:id="90"/>
    </w:p>
    <w:p w14:paraId="4D3DBD3F" w14:textId="77777777" w:rsidR="00990844" w:rsidRDefault="00000000">
      <w:pPr>
        <w:pStyle w:val="FirstParagraph"/>
      </w:pPr>
      <w:r>
        <w:t>The following projects demonstrate Apex Horizon Constructions’ capacity to deliver high-quality community infrastructure while managing complex stakeholder requirements.</w:t>
      </w:r>
    </w:p>
    <w:p w14:paraId="5491F765" w14:textId="77777777" w:rsidR="00990844" w:rsidRDefault="00000000">
      <w:pPr>
        <w:pStyle w:val="BodyText"/>
      </w:pPr>
      <w:r>
        <w:rPr>
          <w:b/>
          <w:bCs/>
        </w:rPr>
        <w:t>Highland Medical Centre Redevelopment ($6.8M)</w:t>
      </w:r>
    </w:p>
    <w:p w14:paraId="7ECCD1E7" w14:textId="77777777" w:rsidR="00990844" w:rsidRDefault="00000000">
      <w:pPr>
        <w:pStyle w:val="BodyText"/>
      </w:pPr>
      <w:r>
        <w:t xml:space="preserve">Recognised as the </w:t>
      </w:r>
      <w:r>
        <w:rPr>
          <w:b/>
          <w:bCs/>
        </w:rPr>
        <w:t>Winner of the 2023 MBA Excellence in Construction</w:t>
      </w:r>
      <w:r>
        <w:t xml:space="preserve"> (Health Buildings $5M-$10M), this project involved complex infection control and radiation shielding within an operational campus.</w:t>
      </w:r>
    </w:p>
    <w:p w14:paraId="129D808F" w14:textId="77777777" w:rsidR="00990844" w:rsidRDefault="00000000">
      <w:pPr>
        <w:pStyle w:val="Compact"/>
        <w:numPr>
          <w:ilvl w:val="0"/>
          <w:numId w:val="27"/>
        </w:numPr>
      </w:pPr>
      <w:r>
        <w:t>“This is the new benchmark for regional health facilities. Apex understood that we weren’t just building a room, we were building a patient care environment.” — Dr. Emily Chen, Chief Medical Officer, Highland Health District.</w:t>
      </w:r>
    </w:p>
    <w:p w14:paraId="3F59A852" w14:textId="77777777" w:rsidR="00990844" w:rsidRDefault="00000000">
      <w:pPr>
        <w:pStyle w:val="FirstParagraph"/>
      </w:pPr>
      <w:r>
        <w:rPr>
          <w:b/>
          <w:bCs/>
        </w:rPr>
        <w:t>Riverside Library &amp; Digital Hub Fitout ($4.2M)</w:t>
      </w:r>
    </w:p>
    <w:p w14:paraId="6D9B185E" w14:textId="77777777" w:rsidR="00990844" w:rsidRDefault="00000000">
      <w:pPr>
        <w:pStyle w:val="BodyText"/>
      </w:pPr>
      <w:r>
        <w:t>This adaptive reuse project was delivered two weeks ahead of schedule. We managed latent conditions effectively while ensuring the highest quality acoustic and joinery finishes.</w:t>
      </w:r>
    </w:p>
    <w:p w14:paraId="7202D265" w14:textId="77777777" w:rsidR="00990844" w:rsidRDefault="00000000">
      <w:pPr>
        <w:pStyle w:val="Compact"/>
        <w:numPr>
          <w:ilvl w:val="0"/>
          <w:numId w:val="28"/>
        </w:numPr>
      </w:pPr>
      <w:r>
        <w:t>“Apex Horizon transformed a derelict shed into the jewel of our community. Their team was professional, transparent, and solved problems before we even knew they existed.” — Marcus Thorn, Director of Infrastructure, Riverside City Council.</w:t>
      </w:r>
    </w:p>
    <w:p w14:paraId="714E5D75" w14:textId="77777777" w:rsidR="00990844" w:rsidRDefault="00000000">
      <w:pPr>
        <w:pStyle w:val="FirstParagraph"/>
      </w:pPr>
      <w:r>
        <w:rPr>
          <w:b/>
          <w:bCs/>
        </w:rPr>
        <w:t>West End Primary School - STEM &amp; Arts Precinct ($5.5M)</w:t>
      </w:r>
    </w:p>
    <w:p w14:paraId="66643994" w14:textId="77777777" w:rsidR="00990844" w:rsidRDefault="00000000">
      <w:pPr>
        <w:pStyle w:val="BodyText"/>
      </w:pPr>
      <w:r>
        <w:lastRenderedPageBreak/>
        <w:t>Our team successfully managed safety and logistics within a live school environment, mirroring the operational continuity requirements for the Green Valley Civic Centre.</w:t>
      </w:r>
    </w:p>
    <w:p w14:paraId="2E01C825" w14:textId="77777777" w:rsidR="00990844" w:rsidRDefault="00000000">
      <w:pPr>
        <w:pStyle w:val="Compact"/>
        <w:numPr>
          <w:ilvl w:val="0"/>
          <w:numId w:val="29"/>
        </w:numPr>
      </w:pPr>
      <w:r>
        <w:t>“Apex became part of our school community. They were respectful, safe, and the quality of the finish is outstanding.” — Robert Miller, Principal, West End Primary.</w:t>
      </w:r>
    </w:p>
    <w:bookmarkEnd w:id="87"/>
    <w:bookmarkEnd w:id="91"/>
    <w:p w14:paraId="15680411" w14:textId="77777777" w:rsidR="00966E59" w:rsidRDefault="00966E59" w:rsidP="001D0178"/>
    <w:p w14:paraId="5270C4BC" w14:textId="77777777" w:rsidR="007F0532" w:rsidRDefault="007F0532" w:rsidP="00966E59"/>
    <w:p w14:paraId="4B3841DA" w14:textId="77777777" w:rsidR="007F0532" w:rsidRPr="00966E59" w:rsidRDefault="007F0532" w:rsidP="00966E59">
      <w:pPr>
        <w:sectPr w:rsidR="007F0532" w:rsidRPr="00966E59" w:rsidSect="00686518">
          <w:headerReference w:type="default" r:id="rId11"/>
          <w:pgSz w:w="11906" w:h="16838"/>
          <w:pgMar w:top="1361" w:right="964" w:bottom="1134" w:left="964" w:header="709" w:footer="567" w:gutter="0"/>
          <w:cols w:space="708"/>
          <w:docGrid w:linePitch="360"/>
        </w:sectPr>
      </w:pPr>
    </w:p>
    <w:p w14:paraId="48433511" w14:textId="77777777" w:rsidR="00966E59" w:rsidRDefault="00966E59" w:rsidP="00966E59">
      <w:pPr>
        <w:pStyle w:val="Appendix"/>
      </w:pPr>
      <w:bookmarkStart w:id="92" w:name="_Toc218961957"/>
      <w:r w:rsidRPr="0086136A">
        <w:lastRenderedPageBreak/>
        <w:t>Appendix A | Curriculum Vitae</w:t>
      </w:r>
      <w:bookmarkEnd w:id="92"/>
    </w:p>
    <w:p w14:paraId="0E09E976" w14:textId="77777777" w:rsidR="00F811F6" w:rsidRDefault="00F811F6" w:rsidP="00F811F6">
      <w:pPr>
        <w:widowControl w:val="0"/>
        <w:pBdr>
          <w:top w:val="nil"/>
          <w:left w:val="nil"/>
          <w:bottom w:val="nil"/>
          <w:right w:val="nil"/>
          <w:between w:val="nil"/>
        </w:pBdr>
        <w:spacing w:after="0" w:line="276" w:lineRule="auto"/>
        <w:rPr>
          <w:rFonts w:ascii="Arial" w:eastAsia="Arial" w:hAnsi="Arial" w:cs="Arial"/>
          <w:color w:val="000000"/>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9"/>
        <w:gridCol w:w="7091"/>
      </w:tblGrid>
      <w:tr w:rsidR="00F811F6" w14:paraId="6B6932F8" w14:textId="77777777" w:rsidTr="00A41C7D">
        <w:trPr>
          <w:trHeight w:val="575"/>
        </w:trPr>
        <w:tc>
          <w:tcPr>
            <w:tcW w:w="3399" w:type="dxa"/>
            <w:vMerge w:val="restart"/>
            <w:tcBorders>
              <w:top w:val="single" w:sz="18" w:space="0" w:color="auto"/>
              <w:left w:val="nil"/>
              <w:right w:val="nil"/>
            </w:tcBorders>
          </w:tcPr>
          <w:p w14:paraId="2D4E0625" w14:textId="77777777" w:rsidR="00F811F6" w:rsidRDefault="00F811F6" w:rsidP="00A41C7D"/>
        </w:tc>
        <w:tc>
          <w:tcPr>
            <w:tcW w:w="7091" w:type="dxa"/>
            <w:tcBorders>
              <w:top w:val="single" w:sz="18" w:space="0" w:color="auto"/>
              <w:left w:val="nil"/>
              <w:bottom w:val="nil"/>
              <w:right w:val="nil"/>
            </w:tcBorders>
          </w:tcPr>
          <w:p w14:paraId="254E8EB6" w14:textId="77777777" w:rsidR="00F811F6" w:rsidRPr="00DC2CCE" w:rsidRDefault="00F811F6" w:rsidP="00A41C7D">
            <w:pPr>
              <w:pBdr>
                <w:top w:val="nil"/>
                <w:left w:val="nil"/>
                <w:bottom w:val="nil"/>
                <w:right w:val="nil"/>
                <w:between w:val="nil"/>
              </w:pBdr>
              <w:spacing w:after="0"/>
              <w:rPr>
                <w:color w:val="002060"/>
                <w:sz w:val="44"/>
                <w:szCs w:val="44"/>
              </w:rPr>
            </w:pPr>
            <w:r w:rsidRPr="00DC2CCE">
              <w:rPr>
                <w:color w:val="002060"/>
                <w:sz w:val="44"/>
                <w:szCs w:val="44"/>
              </w:rPr>
              <w:t>David Wu</w:t>
            </w:r>
          </w:p>
          <w:p w14:paraId="51C5AAB7" w14:textId="77777777" w:rsidR="00F811F6" w:rsidRPr="00DC2CCE" w:rsidRDefault="00F811F6" w:rsidP="00A41C7D">
            <w:pPr>
              <w:pBdr>
                <w:top w:val="nil"/>
                <w:left w:val="nil"/>
                <w:bottom w:val="nil"/>
                <w:right w:val="nil"/>
                <w:between w:val="nil"/>
              </w:pBdr>
              <w:spacing w:after="0"/>
              <w:rPr>
                <w:color w:val="002060"/>
                <w:sz w:val="28"/>
                <w:szCs w:val="28"/>
              </w:rPr>
            </w:pPr>
            <w:r w:rsidRPr="00DC2CCE">
              <w:rPr>
                <w:color w:val="002060"/>
                <w:sz w:val="28"/>
                <w:szCs w:val="28"/>
              </w:rPr>
              <w:t>0400 123 456</w:t>
            </w:r>
          </w:p>
          <w:p w14:paraId="27331D14" w14:textId="77777777" w:rsidR="00F811F6" w:rsidRPr="00DC2CCE" w:rsidRDefault="00F811F6" w:rsidP="00A41C7D">
            <w:pPr>
              <w:pBdr>
                <w:top w:val="nil"/>
                <w:left w:val="nil"/>
                <w:bottom w:val="nil"/>
                <w:right w:val="nil"/>
                <w:between w:val="nil"/>
              </w:pBdr>
              <w:spacing w:after="0"/>
              <w:rPr>
                <w:color w:val="002060"/>
                <w:sz w:val="28"/>
                <w:szCs w:val="28"/>
              </w:rPr>
            </w:pPr>
            <w:r w:rsidRPr="00DC2CCE">
              <w:rPr>
                <w:color w:val="002060"/>
                <w:sz w:val="28"/>
                <w:szCs w:val="28"/>
              </w:rPr>
              <w:t>david.wu@example.com.au</w:t>
            </w:r>
          </w:p>
          <w:p w14:paraId="6EEF3FA3" w14:textId="77777777" w:rsidR="00F811F6" w:rsidRDefault="00F811F6" w:rsidP="00A41C7D">
            <w:pPr>
              <w:pBdr>
                <w:top w:val="nil"/>
                <w:left w:val="nil"/>
                <w:bottom w:val="nil"/>
                <w:right w:val="nil"/>
                <w:between w:val="nil"/>
              </w:pBdr>
              <w:spacing w:after="0"/>
              <w:rPr>
                <w:color w:val="E61E28"/>
                <w:sz w:val="28"/>
                <w:szCs w:val="28"/>
              </w:rPr>
            </w:pPr>
            <w:r w:rsidRPr="00DC2CCE">
              <w:rPr>
                <w:color w:val="002060"/>
                <w:sz w:val="28"/>
                <w:szCs w:val="28"/>
              </w:rPr>
              <w:t>Sydney, NSW</w:t>
            </w:r>
          </w:p>
        </w:tc>
      </w:tr>
      <w:tr w:rsidR="00F811F6" w14:paraId="4EA8F9A7" w14:textId="77777777" w:rsidTr="00A41C7D">
        <w:trPr>
          <w:trHeight w:val="1474"/>
        </w:trPr>
        <w:tc>
          <w:tcPr>
            <w:tcW w:w="3399" w:type="dxa"/>
            <w:vMerge/>
            <w:tcBorders>
              <w:top w:val="nil"/>
              <w:left w:val="nil"/>
              <w:right w:val="nil"/>
            </w:tcBorders>
          </w:tcPr>
          <w:p w14:paraId="3DD53D85" w14:textId="77777777" w:rsidR="00F811F6" w:rsidRDefault="00F811F6" w:rsidP="00A41C7D">
            <w:pPr>
              <w:widowControl w:val="0"/>
              <w:pBdr>
                <w:top w:val="nil"/>
                <w:left w:val="nil"/>
                <w:bottom w:val="nil"/>
                <w:right w:val="nil"/>
                <w:between w:val="nil"/>
              </w:pBdr>
              <w:spacing w:after="0" w:line="276" w:lineRule="auto"/>
              <w:rPr>
                <w:color w:val="E61E28"/>
                <w:sz w:val="28"/>
                <w:szCs w:val="28"/>
              </w:rPr>
            </w:pPr>
          </w:p>
        </w:tc>
        <w:tc>
          <w:tcPr>
            <w:tcW w:w="7091" w:type="dxa"/>
            <w:tcBorders>
              <w:top w:val="nil"/>
              <w:left w:val="nil"/>
              <w:bottom w:val="nil"/>
              <w:right w:val="nil"/>
            </w:tcBorders>
          </w:tcPr>
          <w:p w14:paraId="38A5E0AC" w14:textId="77777777" w:rsidR="00F811F6" w:rsidRDefault="00F811F6" w:rsidP="00A41C7D">
            <w:pPr>
              <w:spacing w:before="160" w:after="320"/>
            </w:pPr>
            <w:r>
              <w:t>David Wu is a Senior Project Manager with 15 years of experience delivering complex civic, educational, and commercial projects. He specializes in 'live environment' construction, ensuring operational continuity for sensitive facilities such as schools, libraries, and hospitals. With a portfolio that includes the $5.5M West End Primary STEM Precinct and the $6M Canterbury Council Chambers, David brings proven expertise in stakeholder management, heritage preservation, and structural steel works. His calm demeanour and technical rigour make him uniquely qualified to navigate the logistical and community constraints of the Green Valley Civic Centre Upgrade.</w:t>
            </w:r>
          </w:p>
        </w:tc>
      </w:tr>
      <w:tr w:rsidR="00F811F6" w14:paraId="2292E073" w14:textId="77777777" w:rsidTr="00A41C7D">
        <w:trPr>
          <w:trHeight w:val="3829"/>
        </w:trPr>
        <w:tc>
          <w:tcPr>
            <w:tcW w:w="3399" w:type="dxa"/>
            <w:tcBorders>
              <w:top w:val="nil"/>
              <w:left w:val="nil"/>
              <w:bottom w:val="single" w:sz="18" w:space="0" w:color="auto"/>
              <w:right w:val="nil"/>
            </w:tcBorders>
          </w:tcPr>
          <w:p w14:paraId="437E6D56" w14:textId="77777777" w:rsidR="00F811F6" w:rsidRPr="00DC2CCE" w:rsidRDefault="00F811F6" w:rsidP="00A41C7D">
            <w:pPr>
              <w:pBdr>
                <w:top w:val="nil"/>
                <w:left w:val="nil"/>
                <w:bottom w:val="nil"/>
                <w:right w:val="nil"/>
                <w:between w:val="nil"/>
              </w:pBdr>
              <w:shd w:val="clear" w:color="auto" w:fill="EAEAEA"/>
              <w:spacing w:after="80"/>
              <w:rPr>
                <w:b/>
                <w:color w:val="002060"/>
                <w:sz w:val="17"/>
                <w:szCs w:val="17"/>
              </w:rPr>
            </w:pPr>
            <w:r w:rsidRPr="00DC2CCE">
              <w:rPr>
                <w:b/>
                <w:color w:val="002060"/>
                <w:sz w:val="17"/>
                <w:szCs w:val="17"/>
              </w:rPr>
              <w:t>Profession</w:t>
            </w:r>
          </w:p>
          <w:p w14:paraId="643544C5" w14:textId="77777777" w:rsidR="00F811F6" w:rsidRDefault="00F811F6" w:rsidP="00A41C7D">
            <w:pPr>
              <w:pBdr>
                <w:top w:val="nil"/>
                <w:left w:val="nil"/>
                <w:bottom w:val="nil"/>
                <w:right w:val="nil"/>
                <w:between w:val="nil"/>
              </w:pBdr>
              <w:spacing w:after="40"/>
              <w:rPr>
                <w:color w:val="000000"/>
                <w:sz w:val="18"/>
                <w:szCs w:val="18"/>
              </w:rPr>
            </w:pPr>
            <w:r>
              <w:rPr>
                <w:color w:val="000000"/>
                <w:sz w:val="18"/>
                <w:szCs w:val="18"/>
              </w:rPr>
              <w:t>Senior Project Manager</w:t>
            </w:r>
          </w:p>
          <w:p w14:paraId="6A9C332C" w14:textId="77777777" w:rsidR="00F811F6" w:rsidRPr="00DC2CCE" w:rsidRDefault="00F811F6" w:rsidP="00A41C7D">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Qualifications</w:t>
            </w:r>
          </w:p>
          <w:p w14:paraId="0564179F" w14:textId="77777777" w:rsidR="00F811F6" w:rsidRDefault="00F811F6" w:rsidP="00A41C7D">
            <w:pPr>
              <w:pBdr>
                <w:top w:val="nil"/>
                <w:left w:val="nil"/>
                <w:bottom w:val="nil"/>
                <w:right w:val="nil"/>
                <w:between w:val="nil"/>
              </w:pBdr>
              <w:spacing w:after="40"/>
              <w:rPr>
                <w:color w:val="000000"/>
                <w:sz w:val="18"/>
                <w:szCs w:val="18"/>
              </w:rPr>
            </w:pPr>
            <w:r>
              <w:rPr>
                <w:color w:val="000000"/>
                <w:sz w:val="18"/>
                <w:szCs w:val="18"/>
              </w:rPr>
              <w:t>Bachelor of Applied Science (Construction Management)</w:t>
            </w:r>
          </w:p>
          <w:p w14:paraId="6BEAF32B" w14:textId="77777777" w:rsidR="00F811F6" w:rsidRPr="00DC2CCE" w:rsidRDefault="00F811F6" w:rsidP="00A41C7D">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Key Skills</w:t>
            </w:r>
          </w:p>
          <w:p w14:paraId="2F7FB29B" w14:textId="77777777" w:rsidR="00F811F6" w:rsidRDefault="00F811F6" w:rsidP="00A41C7D">
            <w:pPr>
              <w:pBdr>
                <w:top w:val="nil"/>
                <w:left w:val="nil"/>
                <w:bottom w:val="nil"/>
                <w:right w:val="nil"/>
                <w:between w:val="nil"/>
              </w:pBdr>
              <w:spacing w:after="120"/>
              <w:rPr>
                <w:color w:val="000000"/>
                <w:sz w:val="17"/>
                <w:szCs w:val="17"/>
              </w:rPr>
            </w:pPr>
            <w:r>
              <w:rPr>
                <w:color w:val="000000"/>
                <w:sz w:val="17"/>
                <w:szCs w:val="17"/>
              </w:rPr>
              <w:t>• Live Environment Management</w:t>
            </w:r>
            <w:r>
              <w:rPr>
                <w:color w:val="000000"/>
                <w:sz w:val="17"/>
                <w:szCs w:val="17"/>
              </w:rPr>
              <w:br/>
              <w:t>• AS 4000 Contract Administration</w:t>
            </w:r>
            <w:r>
              <w:rPr>
                <w:color w:val="000000"/>
                <w:sz w:val="17"/>
                <w:szCs w:val="17"/>
              </w:rPr>
              <w:br/>
              <w:t>• Stakeholder Engagement</w:t>
            </w:r>
            <w:r>
              <w:rPr>
                <w:color w:val="000000"/>
                <w:sz w:val="17"/>
                <w:szCs w:val="17"/>
              </w:rPr>
              <w:br/>
              <w:t>• Heritage Preservation</w:t>
            </w:r>
            <w:r>
              <w:rPr>
                <w:color w:val="000000"/>
                <w:sz w:val="17"/>
                <w:szCs w:val="17"/>
              </w:rPr>
              <w:br/>
              <w:t>• Structural Steel Framing</w:t>
            </w:r>
            <w:r>
              <w:rPr>
                <w:color w:val="000000"/>
                <w:sz w:val="17"/>
                <w:szCs w:val="17"/>
              </w:rPr>
              <w:br/>
              <w:t xml:space="preserve">• Commercial Kitchen </w:t>
            </w:r>
            <w:proofErr w:type="spellStart"/>
            <w:r>
              <w:rPr>
                <w:color w:val="000000"/>
                <w:sz w:val="17"/>
                <w:szCs w:val="17"/>
              </w:rPr>
              <w:t>Fitouts</w:t>
            </w:r>
            <w:proofErr w:type="spellEnd"/>
            <w:r>
              <w:rPr>
                <w:color w:val="000000"/>
                <w:sz w:val="17"/>
                <w:szCs w:val="17"/>
              </w:rPr>
              <w:br/>
              <w:t>• Detailed Programming (MS Project)</w:t>
            </w:r>
            <w:r>
              <w:rPr>
                <w:color w:val="000000"/>
                <w:sz w:val="17"/>
                <w:szCs w:val="17"/>
              </w:rPr>
              <w:br/>
              <w:t>• Cost Control  Reporting</w:t>
            </w:r>
            <w:r>
              <w:rPr>
                <w:color w:val="000000"/>
                <w:sz w:val="17"/>
                <w:szCs w:val="17"/>
              </w:rPr>
              <w:br/>
              <w:t>• WHS  Public Safety</w:t>
            </w:r>
            <w:r>
              <w:rPr>
                <w:color w:val="000000"/>
                <w:sz w:val="17"/>
                <w:szCs w:val="17"/>
              </w:rPr>
              <w:br/>
              <w:t>• Site Logistics Planning</w:t>
            </w:r>
          </w:p>
          <w:p w14:paraId="50F3B30F" w14:textId="77777777" w:rsidR="00F811F6" w:rsidRPr="00DC2CCE" w:rsidRDefault="00F811F6" w:rsidP="00A41C7D">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References</w:t>
            </w:r>
          </w:p>
          <w:p w14:paraId="30291C9E" w14:textId="77777777" w:rsidR="00F811F6" w:rsidRDefault="00F811F6" w:rsidP="00A41C7D">
            <w:pPr>
              <w:rPr>
                <w:sz w:val="17"/>
                <w:szCs w:val="17"/>
              </w:rPr>
            </w:pPr>
            <w:r>
              <w:rPr>
                <w:sz w:val="17"/>
                <w:szCs w:val="17"/>
              </w:rPr>
              <w:t>Available by request.</w:t>
            </w:r>
          </w:p>
          <w:p w14:paraId="343BAEE5" w14:textId="77777777" w:rsidR="00F811F6" w:rsidRDefault="00F811F6" w:rsidP="00A41C7D"/>
        </w:tc>
        <w:tc>
          <w:tcPr>
            <w:tcW w:w="7091" w:type="dxa"/>
            <w:tcBorders>
              <w:top w:val="nil"/>
              <w:left w:val="nil"/>
              <w:bottom w:val="single" w:sz="18" w:space="0" w:color="auto"/>
              <w:right w:val="nil"/>
            </w:tcBorders>
          </w:tcPr>
          <w:p w14:paraId="70B14455" w14:textId="77777777" w:rsidR="00F811F6" w:rsidRPr="00DC2CCE" w:rsidRDefault="00F811F6" w:rsidP="00A41C7D">
            <w:pPr>
              <w:pBdr>
                <w:top w:val="nil"/>
                <w:left w:val="nil"/>
                <w:bottom w:val="nil"/>
                <w:right w:val="nil"/>
                <w:between w:val="nil"/>
              </w:pBdr>
              <w:shd w:val="clear" w:color="auto" w:fill="EAEAEA"/>
              <w:spacing w:after="0"/>
              <w:rPr>
                <w:color w:val="002060"/>
              </w:rPr>
            </w:pPr>
            <w:r w:rsidRPr="00DC2CCE">
              <w:rPr>
                <w:rFonts w:ascii="Arial" w:eastAsia="Arial" w:hAnsi="Arial" w:cs="Arial"/>
                <w:b/>
                <w:color w:val="002060"/>
                <w:sz w:val="24"/>
                <w:szCs w:val="24"/>
              </w:rPr>
              <w:t>Project</w:t>
            </w:r>
            <w:r w:rsidRPr="00DC2CCE">
              <w:rPr>
                <w:rFonts w:ascii="Arial" w:eastAsia="Arial" w:hAnsi="Arial" w:cs="Arial"/>
                <w:b/>
                <w:color w:val="002060"/>
              </w:rPr>
              <w:t xml:space="preserve"> </w:t>
            </w:r>
            <w:r w:rsidRPr="00DC2CCE">
              <w:rPr>
                <w:rFonts w:ascii="Arial" w:eastAsia="Arial" w:hAnsi="Arial" w:cs="Arial"/>
                <w:b/>
                <w:color w:val="002060"/>
                <w:sz w:val="24"/>
                <w:szCs w:val="24"/>
              </w:rPr>
              <w:t>Experience</w:t>
            </w:r>
          </w:p>
          <w:p w14:paraId="5B97531C" w14:textId="77777777" w:rsidR="00F811F6" w:rsidRDefault="00F811F6" w:rsidP="00A41C7D">
            <w:pPr>
              <w:pBdr>
                <w:top w:val="nil"/>
                <w:left w:val="nil"/>
                <w:bottom w:val="nil"/>
                <w:right w:val="nil"/>
                <w:between w:val="nil"/>
              </w:pBdr>
              <w:rPr>
                <w:color w:val="000000"/>
              </w:rPr>
            </w:pPr>
            <w:r>
              <w:rPr>
                <w:color w:val="000000"/>
              </w:rPr>
              <w:t>**West End Primary School - STEM Precinct ($5.5M)**</w:t>
            </w:r>
            <w:r>
              <w:rPr>
                <w:color w:val="000000"/>
              </w:rPr>
              <w:br/>
              <w:t xml:space="preserve">As Project Manager for this $5.5 million educational facility, David demonstrated exceptional capability in managing 'live environment' risks—a critical competency for the Green Valley Civic Centre project. The scope involved the construction of a new multi-storey STEM facility within the grounds of an operating primary school. </w:t>
            </w:r>
            <w:r>
              <w:rPr>
                <w:color w:val="000000"/>
              </w:rPr>
              <w:br/>
            </w:r>
            <w:r>
              <w:rPr>
                <w:color w:val="000000"/>
              </w:rPr>
              <w:br/>
              <w:t>David's primary challenge was ensuring the absolute safety of students and staff while maintaining an aggressive construction program. He implemented Class A hoarding strategies and developed a logistics plan that restricted heavy vehicle movements to strictly defined windows, avoiding school drop-off and pick-up zones (8:00am–9:30am and 2:30pm–4:00pm), mirroring the requirements for the Green Valley School Lane constraints.</w:t>
            </w:r>
            <w:r>
              <w:rPr>
                <w:color w:val="000000"/>
              </w:rPr>
              <w:br/>
            </w:r>
            <w:r>
              <w:rPr>
                <w:color w:val="000000"/>
              </w:rPr>
              <w:br/>
              <w:t>Key responsibilities included:</w:t>
            </w:r>
            <w:r>
              <w:rPr>
                <w:color w:val="000000"/>
              </w:rPr>
              <w:br/>
              <w:t>- Developing a noise management plan to pause high-impact works during examination periods, demonstrating his ability to manage the acoustic constraints required for the Green Valley Library continuity.</w:t>
            </w:r>
            <w:r>
              <w:rPr>
                <w:color w:val="000000"/>
              </w:rPr>
              <w:br/>
              <w:t>- Managing structural steel erection and concrete pours within a confined site footprint.</w:t>
            </w:r>
            <w:r>
              <w:rPr>
                <w:color w:val="000000"/>
              </w:rPr>
              <w:br/>
              <w:t>- coordinating the installation of complex mechanical services and data integration for modern learning spaces.</w:t>
            </w:r>
            <w:r>
              <w:rPr>
                <w:color w:val="000000"/>
              </w:rPr>
              <w:br/>
            </w:r>
            <w:r>
              <w:rPr>
                <w:color w:val="000000"/>
              </w:rPr>
              <w:br/>
              <w:t>The project was delivered two weeks ahead of schedule with zero safety incidents, validating David's methodology for high-risk, public-facing construction sites.</w:t>
            </w:r>
            <w:r>
              <w:rPr>
                <w:color w:val="000000"/>
              </w:rPr>
              <w:br/>
            </w:r>
            <w:r>
              <w:rPr>
                <w:color w:val="000000"/>
              </w:rPr>
              <w:br/>
              <w:t>**Canterbury Council Chambers ($6M)**</w:t>
            </w:r>
            <w:r>
              <w:rPr>
                <w:color w:val="000000"/>
              </w:rPr>
              <w:br/>
              <w:t>David served as Site Manager for this $6 million high-specification refurbishment, which holds direct relevance to the Green Valley project's heritage and civic nature. The project involved the upgrade of the Council Chambers, including high-security fit-outs, advanced audio-visual integration, and sensitive restoration of a heritage façade.</w:t>
            </w:r>
            <w:r>
              <w:rPr>
                <w:color w:val="000000"/>
              </w:rPr>
              <w:br/>
            </w:r>
            <w:r>
              <w:rPr>
                <w:color w:val="000000"/>
              </w:rPr>
              <w:br/>
              <w:t xml:space="preserve">This project highlights David's capacity to manage the protection of heritage assets, similar to the requirements for the 'Old Oak' at Green Valley. He worked closely with heritage consultants to ensure all façade repairs complied with conservation plans. </w:t>
            </w:r>
            <w:r>
              <w:rPr>
                <w:color w:val="000000"/>
              </w:rPr>
              <w:lastRenderedPageBreak/>
              <w:t>Furthermore, the project required high-end internal finishes, acoustic panelling, and bespoke joinery, providing David with the specific experience needed to deliver the Green Valley Main Hall and Meeting Rooms to a premium standard.</w:t>
            </w:r>
            <w:r>
              <w:rPr>
                <w:color w:val="000000"/>
              </w:rPr>
              <w:br/>
            </w:r>
            <w:r>
              <w:rPr>
                <w:color w:val="000000"/>
              </w:rPr>
              <w:br/>
              <w:t>David managed the interface with Council stakeholders daily, ensuring that the administrative functions of the Council could continue with minimal disruption. His role involved strict quality control of joinery and internal linings, ensuring the final handover met the prestigious standards expected of a civic building.</w:t>
            </w:r>
            <w:r>
              <w:rPr>
                <w:color w:val="000000"/>
              </w:rPr>
              <w:br/>
            </w:r>
            <w:r>
              <w:rPr>
                <w:color w:val="000000"/>
              </w:rPr>
              <w:br/>
              <w:t>**Redfern Community Centre Upgrade ($3.8M)**</w:t>
            </w:r>
            <w:r>
              <w:rPr>
                <w:color w:val="000000"/>
              </w:rPr>
              <w:br/>
              <w:t xml:space="preserve">Although valued at $3.8M, this project is technically identical to the Green Valley scope. David managed the refurbishment of a community hall and the extension of a new wing housing a commercial kitchen and amenities. </w:t>
            </w:r>
            <w:r>
              <w:rPr>
                <w:color w:val="000000"/>
              </w:rPr>
              <w:br/>
            </w:r>
            <w:r>
              <w:rPr>
                <w:color w:val="000000"/>
              </w:rPr>
              <w:br/>
              <w:t>David's technical supervision covered several key scope items present in the Green Valley tender:</w:t>
            </w:r>
            <w:r>
              <w:rPr>
                <w:color w:val="000000"/>
              </w:rPr>
              <w:br/>
              <w:t>- **Commercial Kitchen:** He oversaw the installation of a full stainless steel commercial kitchen, including grease trap installation (2000L), gas interlocks, and epoxy flooring, ensuring compliance with health standards.</w:t>
            </w:r>
            <w:r>
              <w:rPr>
                <w:color w:val="000000"/>
              </w:rPr>
              <w:br/>
              <w:t>- **Community Interface:** He managed the project within a socially active precinct, maintaining positive relationships with community groups who utilised the adjacent spaces.</w:t>
            </w:r>
            <w:r>
              <w:rPr>
                <w:color w:val="000000"/>
              </w:rPr>
              <w:br/>
              <w:t>- **Building Services:** The project involved a complete electrical rewire and mechanical upgrade to serve the new hall functionality.</w:t>
            </w:r>
            <w:r>
              <w:rPr>
                <w:color w:val="000000"/>
              </w:rPr>
              <w:br/>
            </w:r>
            <w:r>
              <w:rPr>
                <w:color w:val="000000"/>
              </w:rPr>
              <w:br/>
              <w:t>This project demonstrates David's specific technical proficiency with community centre typologies, ensuring that he understands the end-user requirements for durability, acoustics, and functionality.</w:t>
            </w:r>
          </w:p>
          <w:p w14:paraId="575C381B" w14:textId="77777777" w:rsidR="00F811F6" w:rsidRPr="00DC2CCE" w:rsidRDefault="00F811F6" w:rsidP="00A41C7D">
            <w:pPr>
              <w:pBdr>
                <w:top w:val="nil"/>
                <w:left w:val="nil"/>
                <w:bottom w:val="nil"/>
                <w:right w:val="nil"/>
                <w:between w:val="nil"/>
              </w:pBdr>
              <w:shd w:val="clear" w:color="auto" w:fill="EAEAEA"/>
              <w:spacing w:after="0"/>
              <w:rPr>
                <w:rFonts w:ascii="Arial" w:eastAsia="Arial" w:hAnsi="Arial" w:cs="Arial"/>
                <w:b/>
                <w:color w:val="002060"/>
                <w:sz w:val="24"/>
                <w:szCs w:val="24"/>
              </w:rPr>
            </w:pPr>
            <w:r w:rsidRPr="00DC2CCE">
              <w:rPr>
                <w:rFonts w:ascii="Arial" w:eastAsia="Arial" w:hAnsi="Arial" w:cs="Arial"/>
                <w:b/>
                <w:color w:val="002060"/>
                <w:sz w:val="24"/>
                <w:szCs w:val="24"/>
              </w:rPr>
              <w:t>Professional and Academic Positions Held</w:t>
            </w:r>
          </w:p>
          <w:p w14:paraId="07E142F9" w14:textId="77777777" w:rsidR="00F811F6" w:rsidRDefault="00F811F6" w:rsidP="00A41C7D">
            <w:pPr>
              <w:rPr>
                <w:color w:val="000000"/>
              </w:rPr>
            </w:pPr>
            <w:r>
              <w:t xml:space="preserve">(2017 - 2021), Project Manager / Site Manager, </w:t>
            </w:r>
            <w:proofErr w:type="spellStart"/>
            <w:r>
              <w:t>BuildCorp</w:t>
            </w:r>
            <w:proofErr w:type="spellEnd"/>
            <w:r>
              <w:t xml:space="preserve"> Civil</w:t>
            </w:r>
            <w:r>
              <w:br/>
              <w:t>(2015 - 2016), Site Foreman, Metro Foundations</w:t>
            </w:r>
            <w:r>
              <w:br/>
              <w:t>(2013 - 2014), Contract Administrator, Tier One Constructors</w:t>
            </w:r>
          </w:p>
          <w:p w14:paraId="67D2F1CB" w14:textId="77777777" w:rsidR="00F811F6" w:rsidRDefault="00F811F6" w:rsidP="00A41C7D">
            <w:pPr>
              <w:pBdr>
                <w:top w:val="nil"/>
                <w:left w:val="nil"/>
                <w:bottom w:val="nil"/>
                <w:right w:val="nil"/>
                <w:between w:val="nil"/>
              </w:pBdr>
              <w:rPr>
                <w:color w:val="000000"/>
              </w:rPr>
            </w:pPr>
          </w:p>
        </w:tc>
      </w:tr>
    </w:tbl>
    <w:p w14:paraId="77B95E3C" w14:textId="77777777" w:rsidR="00F811F6" w:rsidRPr="0099527E" w:rsidRDefault="00F811F6" w:rsidP="00F811F6">
      <w:pPr>
        <w:tabs>
          <w:tab w:val="left" w:pos="900"/>
        </w:tabs>
      </w:pPr>
    </w:p>
    <w:p w14:paraId="3CC5DF07" w14:textId="7BEBF972" w:rsidR="00F811F6" w:rsidRDefault="00F811F6">
      <w:pPr>
        <w:rPr>
          <w:rFonts w:eastAsiaTheme="majorEastAsia" w:cstheme="majorBidi"/>
          <w:color w:val="000000" w:themeColor="text1"/>
          <w:sz w:val="28"/>
          <w:szCs w:val="32"/>
        </w:rPr>
      </w:pPr>
      <w:r>
        <w:br w:type="page"/>
      </w:r>
    </w:p>
    <w:tbl>
      <w:tblPr>
        <w:tblStyle w:val="a0"/>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9"/>
        <w:gridCol w:w="7091"/>
      </w:tblGrid>
      <w:tr w:rsidR="006F5B6A" w14:paraId="1761184C" w14:textId="77777777" w:rsidTr="00C23B3A">
        <w:trPr>
          <w:trHeight w:val="575"/>
        </w:trPr>
        <w:tc>
          <w:tcPr>
            <w:tcW w:w="3399" w:type="dxa"/>
            <w:vMerge w:val="restart"/>
            <w:tcBorders>
              <w:top w:val="single" w:sz="18" w:space="0" w:color="auto"/>
              <w:left w:val="nil"/>
              <w:right w:val="nil"/>
            </w:tcBorders>
          </w:tcPr>
          <w:p w14:paraId="4439D275" w14:textId="77777777" w:rsidR="00155EBA" w:rsidRDefault="00155EBA">
            <w:bookmarkStart w:id="93" w:name="_Hlk199872601"/>
          </w:p>
        </w:tc>
        <w:tc>
          <w:tcPr>
            <w:tcW w:w="7091" w:type="dxa"/>
            <w:tcBorders>
              <w:top w:val="single" w:sz="18" w:space="0" w:color="auto"/>
              <w:left w:val="nil"/>
              <w:bottom w:val="nil"/>
              <w:right w:val="nil"/>
            </w:tcBorders>
          </w:tcPr>
          <w:p w14:paraId="794B999C" w14:textId="77777777" w:rsidR="00155EBA" w:rsidRPr="00DC2CCE" w:rsidRDefault="00000000">
            <w:pPr>
              <w:pBdr>
                <w:top w:val="nil"/>
                <w:left w:val="nil"/>
                <w:bottom w:val="nil"/>
                <w:right w:val="nil"/>
                <w:between w:val="nil"/>
              </w:pBdr>
              <w:spacing w:after="0"/>
              <w:rPr>
                <w:color w:val="002060"/>
                <w:sz w:val="44"/>
                <w:szCs w:val="44"/>
              </w:rPr>
            </w:pPr>
            <w:r w:rsidRPr="00DC2CCE">
              <w:rPr>
                <w:color w:val="002060"/>
                <w:sz w:val="44"/>
                <w:szCs w:val="44"/>
              </w:rPr>
              <w:t>Emma Thompson</w:t>
            </w:r>
          </w:p>
          <w:p w14:paraId="6450DDF8" w14:textId="77777777" w:rsidR="00155EBA" w:rsidRPr="00DC2CCE" w:rsidRDefault="00000000">
            <w:pPr>
              <w:pBdr>
                <w:top w:val="nil"/>
                <w:left w:val="nil"/>
                <w:bottom w:val="nil"/>
                <w:right w:val="nil"/>
                <w:between w:val="nil"/>
              </w:pBdr>
              <w:spacing w:after="0"/>
              <w:rPr>
                <w:color w:val="002060"/>
                <w:sz w:val="28"/>
                <w:szCs w:val="28"/>
              </w:rPr>
            </w:pPr>
            <w:r w:rsidRPr="00DC2CCE">
              <w:rPr>
                <w:color w:val="002060"/>
                <w:sz w:val="28"/>
                <w:szCs w:val="28"/>
              </w:rPr>
              <w:t>0400 000 000</w:t>
            </w:r>
          </w:p>
          <w:p w14:paraId="0D606D4E" w14:textId="77777777" w:rsidR="00155EBA" w:rsidRPr="00DC2CCE" w:rsidRDefault="00000000">
            <w:pPr>
              <w:pBdr>
                <w:top w:val="nil"/>
                <w:left w:val="nil"/>
                <w:bottom w:val="nil"/>
                <w:right w:val="nil"/>
                <w:between w:val="nil"/>
              </w:pBdr>
              <w:spacing w:after="0"/>
              <w:rPr>
                <w:color w:val="002060"/>
                <w:sz w:val="28"/>
                <w:szCs w:val="28"/>
              </w:rPr>
            </w:pPr>
            <w:r w:rsidRPr="00DC2CCE">
              <w:rPr>
                <w:color w:val="002060"/>
                <w:sz w:val="28"/>
                <w:szCs w:val="28"/>
              </w:rPr>
              <w:t>emma.thompson@example.com</w:t>
            </w:r>
          </w:p>
          <w:p w14:paraId="474E06A1" w14:textId="77777777" w:rsidR="00155EBA" w:rsidRDefault="00000000">
            <w:pPr>
              <w:pBdr>
                <w:top w:val="nil"/>
                <w:left w:val="nil"/>
                <w:bottom w:val="nil"/>
                <w:right w:val="nil"/>
                <w:between w:val="nil"/>
              </w:pBdr>
              <w:spacing w:after="0"/>
              <w:rPr>
                <w:color w:val="E61E28"/>
                <w:sz w:val="28"/>
                <w:szCs w:val="28"/>
              </w:rPr>
            </w:pPr>
            <w:r w:rsidRPr="00DC2CCE">
              <w:rPr>
                <w:color w:val="002060"/>
                <w:sz w:val="28"/>
                <w:szCs w:val="28"/>
              </w:rPr>
              <w:t>Sydney, NSW</w:t>
            </w:r>
          </w:p>
        </w:tc>
      </w:tr>
      <w:tr w:rsidR="006F5B6A" w14:paraId="1E0599DA" w14:textId="77777777">
        <w:trPr>
          <w:trHeight w:val="1474"/>
        </w:trPr>
        <w:tc>
          <w:tcPr>
            <w:tcW w:w="3399" w:type="dxa"/>
            <w:vMerge/>
            <w:tcBorders>
              <w:top w:val="nil"/>
              <w:left w:val="nil"/>
              <w:right w:val="nil"/>
            </w:tcBorders>
          </w:tcPr>
          <w:p w14:paraId="02EDCBDE" w14:textId="77777777" w:rsidR="00155EBA" w:rsidRDefault="00155EBA">
            <w:pPr>
              <w:widowControl w:val="0"/>
              <w:pBdr>
                <w:top w:val="nil"/>
                <w:left w:val="nil"/>
                <w:bottom w:val="nil"/>
                <w:right w:val="nil"/>
                <w:between w:val="nil"/>
              </w:pBdr>
              <w:spacing w:after="0" w:line="276" w:lineRule="auto"/>
              <w:rPr>
                <w:color w:val="E61E28"/>
                <w:sz w:val="28"/>
                <w:szCs w:val="28"/>
              </w:rPr>
            </w:pPr>
          </w:p>
        </w:tc>
        <w:tc>
          <w:tcPr>
            <w:tcW w:w="7091" w:type="dxa"/>
            <w:tcBorders>
              <w:top w:val="nil"/>
              <w:left w:val="nil"/>
              <w:bottom w:val="nil"/>
              <w:right w:val="nil"/>
            </w:tcBorders>
          </w:tcPr>
          <w:p w14:paraId="77B2B639" w14:textId="77777777" w:rsidR="00155EBA" w:rsidRDefault="00000000">
            <w:pPr>
              <w:spacing w:before="160" w:after="320"/>
            </w:pPr>
            <w:r>
              <w:t>Emma Thompson is a trade-qualified Site Manager with 12 years of experience delivering commercial and community projects. With a background in carpentry and a Diploma in Building  Construction, she specializes in live environments, heritage interfaces, and strict traffic logistics. Emma is expert in managing operational continuity constraints, having successfully delivered projects for schools and emergency services. She brings rigorous WHS standards and strong subcontractor coordination skills to the Green Valley Civic Centre project.</w:t>
            </w:r>
          </w:p>
        </w:tc>
      </w:tr>
      <w:tr w:rsidR="006F5B6A" w14:paraId="565D70DD" w14:textId="77777777" w:rsidTr="009B54DE">
        <w:trPr>
          <w:trHeight w:val="708"/>
        </w:trPr>
        <w:tc>
          <w:tcPr>
            <w:tcW w:w="3399" w:type="dxa"/>
            <w:tcBorders>
              <w:top w:val="nil"/>
              <w:left w:val="nil"/>
              <w:bottom w:val="single" w:sz="18" w:space="0" w:color="auto"/>
              <w:right w:val="nil"/>
            </w:tcBorders>
          </w:tcPr>
          <w:p w14:paraId="57EC1563" w14:textId="77777777" w:rsidR="00155EBA" w:rsidRPr="00DC2CCE" w:rsidRDefault="00000000">
            <w:pPr>
              <w:pBdr>
                <w:top w:val="nil"/>
                <w:left w:val="nil"/>
                <w:bottom w:val="nil"/>
                <w:right w:val="nil"/>
                <w:between w:val="nil"/>
              </w:pBdr>
              <w:shd w:val="clear" w:color="auto" w:fill="EAEAEA"/>
              <w:spacing w:after="80"/>
              <w:rPr>
                <w:b/>
                <w:color w:val="002060"/>
                <w:sz w:val="17"/>
                <w:szCs w:val="17"/>
              </w:rPr>
            </w:pPr>
            <w:r w:rsidRPr="00DC2CCE">
              <w:rPr>
                <w:b/>
                <w:color w:val="002060"/>
                <w:sz w:val="17"/>
                <w:szCs w:val="17"/>
              </w:rPr>
              <w:t>Profession</w:t>
            </w:r>
          </w:p>
          <w:p w14:paraId="16FD64F6" w14:textId="77777777" w:rsidR="00155EBA" w:rsidRDefault="00000000">
            <w:pPr>
              <w:pBdr>
                <w:top w:val="nil"/>
                <w:left w:val="nil"/>
                <w:bottom w:val="nil"/>
                <w:right w:val="nil"/>
                <w:between w:val="nil"/>
              </w:pBdr>
              <w:spacing w:after="40"/>
              <w:rPr>
                <w:color w:val="000000"/>
                <w:sz w:val="18"/>
                <w:szCs w:val="18"/>
              </w:rPr>
            </w:pPr>
            <w:r>
              <w:rPr>
                <w:color w:val="000000"/>
                <w:sz w:val="18"/>
                <w:szCs w:val="18"/>
              </w:rPr>
              <w:t>Site Manager</w:t>
            </w:r>
          </w:p>
          <w:p w14:paraId="1216FDB9"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Qualifications</w:t>
            </w:r>
          </w:p>
          <w:p w14:paraId="17105935" w14:textId="77777777" w:rsidR="00155EBA" w:rsidRDefault="00000000">
            <w:pPr>
              <w:pBdr>
                <w:top w:val="nil"/>
                <w:left w:val="nil"/>
                <w:bottom w:val="nil"/>
                <w:right w:val="nil"/>
                <w:between w:val="nil"/>
              </w:pBdr>
              <w:spacing w:after="40"/>
              <w:rPr>
                <w:color w:val="000000"/>
                <w:sz w:val="18"/>
                <w:szCs w:val="18"/>
              </w:rPr>
            </w:pPr>
            <w:r>
              <w:rPr>
                <w:color w:val="000000"/>
                <w:sz w:val="18"/>
                <w:szCs w:val="18"/>
              </w:rPr>
              <w:t>Diploma of Building  Construction</w:t>
            </w:r>
          </w:p>
          <w:p w14:paraId="693B062A"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Key Skills</w:t>
            </w:r>
          </w:p>
          <w:p w14:paraId="18687724" w14:textId="77777777" w:rsidR="00155EBA" w:rsidRDefault="00000000" w:rsidP="00D37D16">
            <w:pPr>
              <w:pBdr>
                <w:top w:val="nil"/>
                <w:left w:val="nil"/>
                <w:bottom w:val="nil"/>
                <w:right w:val="nil"/>
                <w:between w:val="nil"/>
              </w:pBdr>
              <w:spacing w:after="120"/>
              <w:rPr>
                <w:color w:val="000000"/>
                <w:sz w:val="17"/>
                <w:szCs w:val="17"/>
              </w:rPr>
            </w:pPr>
            <w:r>
              <w:rPr>
                <w:color w:val="000000"/>
                <w:sz w:val="17"/>
                <w:szCs w:val="17"/>
              </w:rPr>
              <w:t>• Site Management</w:t>
            </w:r>
            <w:r>
              <w:rPr>
                <w:color w:val="000000"/>
                <w:sz w:val="17"/>
                <w:szCs w:val="17"/>
              </w:rPr>
              <w:br/>
              <w:t>• Subcontractor Coordination</w:t>
            </w:r>
            <w:r>
              <w:rPr>
                <w:color w:val="000000"/>
                <w:sz w:val="17"/>
                <w:szCs w:val="17"/>
              </w:rPr>
              <w:br/>
              <w:t>• WHS Enforcement</w:t>
            </w:r>
            <w:r>
              <w:rPr>
                <w:color w:val="000000"/>
                <w:sz w:val="17"/>
                <w:szCs w:val="17"/>
              </w:rPr>
              <w:br/>
              <w:t>• Traffic Management</w:t>
            </w:r>
            <w:r>
              <w:rPr>
                <w:color w:val="000000"/>
                <w:sz w:val="17"/>
                <w:szCs w:val="17"/>
              </w:rPr>
              <w:br/>
              <w:t>• Live Environment Works</w:t>
            </w:r>
            <w:r>
              <w:rPr>
                <w:color w:val="000000"/>
                <w:sz w:val="17"/>
                <w:szCs w:val="17"/>
              </w:rPr>
              <w:br/>
              <w:t>• Heritage Protection</w:t>
            </w:r>
            <w:r>
              <w:rPr>
                <w:color w:val="000000"/>
                <w:sz w:val="17"/>
                <w:szCs w:val="17"/>
              </w:rPr>
              <w:br/>
              <w:t>• Structural Steel</w:t>
            </w:r>
            <w:r>
              <w:rPr>
                <w:color w:val="000000"/>
                <w:sz w:val="17"/>
                <w:szCs w:val="17"/>
              </w:rPr>
              <w:br/>
              <w:t>• Internal Fitout</w:t>
            </w:r>
            <w:r>
              <w:rPr>
                <w:color w:val="000000"/>
                <w:sz w:val="17"/>
                <w:szCs w:val="17"/>
              </w:rPr>
              <w:br/>
              <w:t>• Logistics Planning</w:t>
            </w:r>
            <w:r>
              <w:rPr>
                <w:color w:val="000000"/>
                <w:sz w:val="17"/>
                <w:szCs w:val="17"/>
              </w:rPr>
              <w:br/>
              <w:t>• Quality Assurance</w:t>
            </w:r>
          </w:p>
          <w:p w14:paraId="7AAF598B"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References</w:t>
            </w:r>
          </w:p>
          <w:p w14:paraId="340B35EA" w14:textId="77777777" w:rsidR="00155EBA" w:rsidRDefault="00000000">
            <w:pPr>
              <w:rPr>
                <w:sz w:val="17"/>
                <w:szCs w:val="17"/>
              </w:rPr>
            </w:pPr>
            <w:r>
              <w:rPr>
                <w:sz w:val="17"/>
                <w:szCs w:val="17"/>
              </w:rPr>
              <w:t>Available by request.</w:t>
            </w:r>
          </w:p>
          <w:p w14:paraId="2D2014C5" w14:textId="77777777" w:rsidR="00155EBA" w:rsidRDefault="00155EBA"/>
        </w:tc>
        <w:tc>
          <w:tcPr>
            <w:tcW w:w="7091" w:type="dxa"/>
            <w:tcBorders>
              <w:top w:val="nil"/>
              <w:left w:val="nil"/>
              <w:bottom w:val="single" w:sz="18" w:space="0" w:color="auto"/>
              <w:right w:val="nil"/>
            </w:tcBorders>
          </w:tcPr>
          <w:p w14:paraId="42C99D56" w14:textId="77777777" w:rsidR="00155EBA" w:rsidRPr="00DC2CCE" w:rsidRDefault="00000000" w:rsidP="000C1FFA">
            <w:pPr>
              <w:pBdr>
                <w:top w:val="nil"/>
                <w:left w:val="nil"/>
                <w:bottom w:val="nil"/>
                <w:right w:val="nil"/>
                <w:between w:val="nil"/>
              </w:pBdr>
              <w:shd w:val="clear" w:color="auto" w:fill="EAEAEA"/>
              <w:spacing w:after="0"/>
              <w:rPr>
                <w:color w:val="002060"/>
              </w:rPr>
            </w:pPr>
            <w:r w:rsidRPr="00DC2CCE">
              <w:rPr>
                <w:rFonts w:ascii="Arial" w:eastAsia="Arial" w:hAnsi="Arial" w:cs="Arial"/>
                <w:b/>
                <w:color w:val="002060"/>
                <w:sz w:val="24"/>
                <w:szCs w:val="24"/>
              </w:rPr>
              <w:t>Project</w:t>
            </w:r>
            <w:r w:rsidRPr="00DC2CCE">
              <w:rPr>
                <w:rFonts w:ascii="Arial" w:eastAsia="Arial" w:hAnsi="Arial" w:cs="Arial"/>
                <w:b/>
                <w:color w:val="002060"/>
              </w:rPr>
              <w:t xml:space="preserve"> </w:t>
            </w:r>
            <w:r w:rsidRPr="00DC2CCE">
              <w:rPr>
                <w:rFonts w:ascii="Arial" w:eastAsia="Arial" w:hAnsi="Arial" w:cs="Arial"/>
                <w:b/>
                <w:color w:val="002060"/>
                <w:sz w:val="24"/>
                <w:szCs w:val="24"/>
              </w:rPr>
              <w:t>Experience</w:t>
            </w:r>
          </w:p>
          <w:p w14:paraId="4BA5C8EE" w14:textId="3638BA1F" w:rsidR="00155EBA" w:rsidRDefault="00000000" w:rsidP="000C1FFA">
            <w:pPr>
              <w:pBdr>
                <w:top w:val="nil"/>
                <w:left w:val="nil"/>
                <w:bottom w:val="nil"/>
                <w:right w:val="nil"/>
                <w:between w:val="nil"/>
              </w:pBdr>
              <w:rPr>
                <w:color w:val="000000"/>
              </w:rPr>
            </w:pPr>
            <w:r>
              <w:rPr>
                <w:color w:val="000000"/>
              </w:rPr>
              <w:t>West End Primary School - STEM Precinct</w:t>
            </w:r>
            <w:r>
              <w:rPr>
                <w:color w:val="000000"/>
              </w:rPr>
              <w:br/>
              <w:t>This $5.5M project involved the construction of a new STEM precinct within an operational primary school environment. As Site Manager, Emma was responsible for the complete site establishment, including Class A hoarding and strict separation of construction activities from students and staff. A critical component of this project was managing logistics within a school zone, adhering to strict 'no movement' windows during drop-off and pick-up times, mirroring the constraints required for the Green Valley Civic Centre project (School Lane). Emma successfully coordinated the structural steel portal frame erection and internal fit-out of specialised laboratories while maintaining zero safety incidents. The project also involved interface works with a heritage building, requiring careful protection and restoration methodologies.</w:t>
            </w:r>
            <w:r>
              <w:rPr>
                <w:color w:val="000000"/>
              </w:rPr>
              <w:br/>
            </w:r>
            <w:r>
              <w:rPr>
                <w:color w:val="000000"/>
              </w:rPr>
              <w:br/>
              <w:t>North Sydney Fire Station Upgrade</w:t>
            </w:r>
            <w:r>
              <w:rPr>
                <w:color w:val="000000"/>
              </w:rPr>
              <w:br/>
              <w:t>The North Sydney Fire Station project ($3M) demanded rigorous planning to ensure the facility remained fully operational for emergency services throughout the build. Emma served as Site Manager, coordinating the modernisation of internal facilities and heritage façade restoration. Key relevance to the Green Valley tender includes Emma's management of hazardous materials removal (lead paint and asbestos) and the upgrading of essential services (electrical and hydraulic) without disrupting the station's critical operations. Her ability to program noisy works around the station's requirements demonstrates her capacity to manage the 'Operational Continuity' constraints associated with the adjacent Green Valley Library.</w:t>
            </w:r>
            <w:r>
              <w:rPr>
                <w:color w:val="000000"/>
              </w:rPr>
              <w:br/>
            </w:r>
            <w:r>
              <w:rPr>
                <w:color w:val="000000"/>
              </w:rPr>
              <w:br/>
              <w:t>Balmain Library Roof Replacement</w:t>
            </w:r>
            <w:r>
              <w:rPr>
                <w:color w:val="000000"/>
              </w:rPr>
              <w:br/>
              <w:t>This $1.5M remediation project required the replacement of a complex roof structure over a public library that remained open to the community. Emma's role as Site Foreman focused heavily on weatherproofing logistics and public safety. She managed the installation of extensive scaffolding and temporary protection measures to ensure no water ingress occurred during the works. This experience is directly applicable to the Green Valley Civic Centre scope involving the 'Old Oak' protection and works near the operating library. Emma managed daily communication with library staff to mitigate noise impacts, restricting loud activities to designated windows, a protocol she will replicate for Green Valley Regional Council.</w:t>
            </w:r>
          </w:p>
          <w:p w14:paraId="321A2063" w14:textId="77777777" w:rsidR="00155EBA" w:rsidRPr="00DC2CCE" w:rsidRDefault="00000000" w:rsidP="000C1FFA">
            <w:pPr>
              <w:pBdr>
                <w:top w:val="nil"/>
                <w:left w:val="nil"/>
                <w:bottom w:val="nil"/>
                <w:right w:val="nil"/>
                <w:between w:val="nil"/>
              </w:pBdr>
              <w:shd w:val="clear" w:color="auto" w:fill="EAEAEA"/>
              <w:spacing w:after="0"/>
              <w:rPr>
                <w:rFonts w:ascii="Arial" w:eastAsia="Arial" w:hAnsi="Arial" w:cs="Arial"/>
                <w:b/>
                <w:color w:val="002060"/>
                <w:sz w:val="24"/>
                <w:szCs w:val="24"/>
              </w:rPr>
            </w:pPr>
            <w:r w:rsidRPr="00DC2CCE">
              <w:rPr>
                <w:rFonts w:ascii="Arial" w:eastAsia="Arial" w:hAnsi="Arial" w:cs="Arial"/>
                <w:b/>
                <w:color w:val="002060"/>
                <w:sz w:val="24"/>
                <w:szCs w:val="24"/>
              </w:rPr>
              <w:t>Professional and Academic Positions Held</w:t>
            </w:r>
          </w:p>
          <w:p w14:paraId="2F594C35" w14:textId="77777777" w:rsidR="00155EBA" w:rsidRDefault="00000000" w:rsidP="000C1FFA">
            <w:pPr>
              <w:rPr>
                <w:color w:val="000000"/>
              </w:rPr>
            </w:pPr>
            <w:r>
              <w:t>(2022 - Present), Site Manager, Premier Construction Group</w:t>
            </w:r>
            <w:r>
              <w:br/>
              <w:t>(2019 - 2021), Site Foreman, BuildCorp Services</w:t>
            </w:r>
            <w:r>
              <w:br/>
              <w:t>(2015 - 2018), Leading Hand / Foreman, Tier 1 Constructions</w:t>
            </w:r>
          </w:p>
          <w:p w14:paraId="0FCD69B8" w14:textId="77777777" w:rsidR="00155EBA" w:rsidRDefault="00155EBA" w:rsidP="000C1FFA">
            <w:pPr>
              <w:pBdr>
                <w:top w:val="nil"/>
                <w:left w:val="nil"/>
                <w:bottom w:val="nil"/>
                <w:right w:val="nil"/>
                <w:between w:val="nil"/>
              </w:pBdr>
              <w:rPr>
                <w:color w:val="000000"/>
              </w:rPr>
            </w:pPr>
          </w:p>
        </w:tc>
      </w:tr>
    </w:tbl>
    <w:p w14:paraId="5C5CAD36" w14:textId="7AE4061D" w:rsidR="009B54DE" w:rsidRDefault="009B54DE"/>
    <w:p w14:paraId="18CB7B5A" w14:textId="77777777" w:rsidR="009B54DE" w:rsidRDefault="009B54DE">
      <w:r>
        <w:br w:type="page"/>
      </w:r>
    </w:p>
    <w:tbl>
      <w:tblPr>
        <w:tblStyle w:val="a0"/>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9"/>
        <w:gridCol w:w="7091"/>
      </w:tblGrid>
      <w:tr w:rsidR="006F5B6A" w14:paraId="59B4E008" w14:textId="77777777" w:rsidTr="00C23B3A">
        <w:trPr>
          <w:trHeight w:val="575"/>
        </w:trPr>
        <w:tc>
          <w:tcPr>
            <w:tcW w:w="3399" w:type="dxa"/>
            <w:vMerge w:val="restart"/>
            <w:tcBorders>
              <w:top w:val="single" w:sz="18" w:space="0" w:color="auto"/>
              <w:left w:val="nil"/>
              <w:right w:val="nil"/>
            </w:tcBorders>
          </w:tcPr>
          <w:p w14:paraId="427D9335" w14:textId="48937783" w:rsidR="00155EBA" w:rsidRDefault="00155EBA"/>
        </w:tc>
        <w:tc>
          <w:tcPr>
            <w:tcW w:w="7091" w:type="dxa"/>
            <w:tcBorders>
              <w:top w:val="single" w:sz="18" w:space="0" w:color="auto"/>
              <w:left w:val="nil"/>
              <w:bottom w:val="nil"/>
              <w:right w:val="nil"/>
            </w:tcBorders>
          </w:tcPr>
          <w:p w14:paraId="66852BF2" w14:textId="77777777" w:rsidR="00155EBA" w:rsidRPr="00DC2CCE" w:rsidRDefault="00000000">
            <w:pPr>
              <w:pBdr>
                <w:top w:val="nil"/>
                <w:left w:val="nil"/>
                <w:bottom w:val="nil"/>
                <w:right w:val="nil"/>
                <w:between w:val="nil"/>
              </w:pBdr>
              <w:spacing w:after="0"/>
              <w:rPr>
                <w:color w:val="002060"/>
                <w:sz w:val="44"/>
                <w:szCs w:val="44"/>
              </w:rPr>
            </w:pPr>
            <w:r w:rsidRPr="00DC2CCE">
              <w:rPr>
                <w:color w:val="002060"/>
                <w:sz w:val="44"/>
                <w:szCs w:val="44"/>
              </w:rPr>
              <w:t>Jessica Alcott</w:t>
            </w:r>
          </w:p>
          <w:p w14:paraId="1DF3DEFF" w14:textId="77777777" w:rsidR="00155EBA" w:rsidRPr="00DC2CCE" w:rsidRDefault="00000000">
            <w:pPr>
              <w:pBdr>
                <w:top w:val="nil"/>
                <w:left w:val="nil"/>
                <w:bottom w:val="nil"/>
                <w:right w:val="nil"/>
                <w:between w:val="nil"/>
              </w:pBdr>
              <w:spacing w:after="0"/>
              <w:rPr>
                <w:color w:val="002060"/>
                <w:sz w:val="28"/>
                <w:szCs w:val="28"/>
              </w:rPr>
            </w:pPr>
            <w:r w:rsidRPr="00DC2CCE">
              <w:rPr>
                <w:color w:val="002060"/>
                <w:sz w:val="28"/>
                <w:szCs w:val="28"/>
              </w:rPr>
              <w:t>+61 400 000 000</w:t>
            </w:r>
          </w:p>
          <w:p w14:paraId="2FBEAEAF" w14:textId="5A98B2AF" w:rsidR="00155EBA" w:rsidRPr="00DC2CCE" w:rsidRDefault="00000000">
            <w:pPr>
              <w:pBdr>
                <w:top w:val="nil"/>
                <w:left w:val="nil"/>
                <w:bottom w:val="nil"/>
                <w:right w:val="nil"/>
                <w:between w:val="nil"/>
              </w:pBdr>
              <w:spacing w:after="0"/>
              <w:rPr>
                <w:color w:val="002060"/>
                <w:sz w:val="28"/>
                <w:szCs w:val="28"/>
              </w:rPr>
            </w:pPr>
            <w:r w:rsidRPr="00DC2CCE">
              <w:rPr>
                <w:color w:val="002060"/>
                <w:sz w:val="28"/>
                <w:szCs w:val="28"/>
              </w:rPr>
              <w:t>jessica.alcott@apexhorizon.com.au</w:t>
            </w:r>
          </w:p>
          <w:p w14:paraId="41404571" w14:textId="77777777" w:rsidR="00155EBA" w:rsidRDefault="00000000">
            <w:pPr>
              <w:pBdr>
                <w:top w:val="nil"/>
                <w:left w:val="nil"/>
                <w:bottom w:val="nil"/>
                <w:right w:val="nil"/>
                <w:between w:val="nil"/>
              </w:pBdr>
              <w:spacing w:after="0"/>
              <w:rPr>
                <w:color w:val="E61E28"/>
                <w:sz w:val="28"/>
                <w:szCs w:val="28"/>
              </w:rPr>
            </w:pPr>
            <w:r w:rsidRPr="00DC2CCE">
              <w:rPr>
                <w:color w:val="002060"/>
                <w:sz w:val="28"/>
                <w:szCs w:val="28"/>
              </w:rPr>
              <w:t>Sydney, NSW</w:t>
            </w:r>
          </w:p>
        </w:tc>
      </w:tr>
      <w:tr w:rsidR="006F5B6A" w14:paraId="364D4DAE" w14:textId="77777777">
        <w:trPr>
          <w:trHeight w:val="1474"/>
        </w:trPr>
        <w:tc>
          <w:tcPr>
            <w:tcW w:w="3399" w:type="dxa"/>
            <w:vMerge/>
            <w:tcBorders>
              <w:top w:val="nil"/>
              <w:left w:val="nil"/>
              <w:right w:val="nil"/>
            </w:tcBorders>
          </w:tcPr>
          <w:p w14:paraId="0B0386E6" w14:textId="77777777" w:rsidR="00155EBA" w:rsidRDefault="00155EBA">
            <w:pPr>
              <w:widowControl w:val="0"/>
              <w:pBdr>
                <w:top w:val="nil"/>
                <w:left w:val="nil"/>
                <w:bottom w:val="nil"/>
                <w:right w:val="nil"/>
                <w:between w:val="nil"/>
              </w:pBdr>
              <w:spacing w:after="0" w:line="276" w:lineRule="auto"/>
              <w:rPr>
                <w:color w:val="E61E28"/>
                <w:sz w:val="28"/>
                <w:szCs w:val="28"/>
              </w:rPr>
            </w:pPr>
          </w:p>
        </w:tc>
        <w:tc>
          <w:tcPr>
            <w:tcW w:w="7091" w:type="dxa"/>
            <w:tcBorders>
              <w:top w:val="nil"/>
              <w:left w:val="nil"/>
              <w:bottom w:val="nil"/>
              <w:right w:val="nil"/>
            </w:tcBorders>
          </w:tcPr>
          <w:p w14:paraId="215ADFED" w14:textId="77777777" w:rsidR="00155EBA" w:rsidRDefault="00000000">
            <w:pPr>
              <w:spacing w:before="160" w:after="320"/>
            </w:pPr>
            <w:r>
              <w:t>Jessica Alcott is a qualified WHS  Environment Officer with a decade of experience across Tier 1 infrastructure and commercial construction. Holding a Diploma of WHS and a background as a Registered Nurse, she brings a unique medical perspective to risk management and incident response. Jessica specializes in ISO 45001 compliance, hazardous materials management, and environmental monitoring in sensitive urban environments. Her track record includes maintaining zero LTI rates on complex portfolios and managing high-risk safety protocols on major projects like WestConnex. Jessica is committed to delivering the Green Valley Civic Centre Upgrade with the highest standards of safety and minimal disruption to community operations.</w:t>
            </w:r>
          </w:p>
        </w:tc>
      </w:tr>
      <w:tr w:rsidR="006F5B6A" w14:paraId="39F405C6" w14:textId="77777777" w:rsidTr="00C23B3A">
        <w:trPr>
          <w:trHeight w:val="3829"/>
        </w:trPr>
        <w:tc>
          <w:tcPr>
            <w:tcW w:w="3399" w:type="dxa"/>
            <w:tcBorders>
              <w:top w:val="nil"/>
              <w:left w:val="nil"/>
              <w:bottom w:val="single" w:sz="18" w:space="0" w:color="auto"/>
              <w:right w:val="nil"/>
            </w:tcBorders>
          </w:tcPr>
          <w:p w14:paraId="4EA9EA18" w14:textId="77777777" w:rsidR="00155EBA" w:rsidRPr="00DC2CCE" w:rsidRDefault="00000000">
            <w:pPr>
              <w:pBdr>
                <w:top w:val="nil"/>
                <w:left w:val="nil"/>
                <w:bottom w:val="nil"/>
                <w:right w:val="nil"/>
                <w:between w:val="nil"/>
              </w:pBdr>
              <w:shd w:val="clear" w:color="auto" w:fill="EAEAEA"/>
              <w:spacing w:after="80"/>
              <w:rPr>
                <w:b/>
                <w:color w:val="002060"/>
                <w:sz w:val="17"/>
                <w:szCs w:val="17"/>
              </w:rPr>
            </w:pPr>
            <w:r w:rsidRPr="00DC2CCE">
              <w:rPr>
                <w:b/>
                <w:color w:val="002060"/>
                <w:sz w:val="17"/>
                <w:szCs w:val="17"/>
              </w:rPr>
              <w:t>Profession</w:t>
            </w:r>
          </w:p>
          <w:p w14:paraId="67868B69" w14:textId="77777777" w:rsidR="00155EBA" w:rsidRDefault="00000000">
            <w:pPr>
              <w:pBdr>
                <w:top w:val="nil"/>
                <w:left w:val="nil"/>
                <w:bottom w:val="nil"/>
                <w:right w:val="nil"/>
                <w:between w:val="nil"/>
              </w:pBdr>
              <w:spacing w:after="40"/>
              <w:rPr>
                <w:color w:val="000000"/>
                <w:sz w:val="18"/>
                <w:szCs w:val="18"/>
              </w:rPr>
            </w:pPr>
            <w:r>
              <w:rPr>
                <w:color w:val="000000"/>
                <w:sz w:val="18"/>
                <w:szCs w:val="18"/>
              </w:rPr>
              <w:t>WHS  Environment Officer</w:t>
            </w:r>
          </w:p>
          <w:p w14:paraId="2F9F1C2E"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Qualifications</w:t>
            </w:r>
          </w:p>
          <w:p w14:paraId="0608CCCF" w14:textId="77777777" w:rsidR="00155EBA" w:rsidRDefault="00000000">
            <w:pPr>
              <w:pBdr>
                <w:top w:val="nil"/>
                <w:left w:val="nil"/>
                <w:bottom w:val="nil"/>
                <w:right w:val="nil"/>
                <w:between w:val="nil"/>
              </w:pBdr>
              <w:spacing w:after="40"/>
              <w:rPr>
                <w:color w:val="000000"/>
                <w:sz w:val="18"/>
                <w:szCs w:val="18"/>
              </w:rPr>
            </w:pPr>
            <w:r>
              <w:rPr>
                <w:color w:val="000000"/>
                <w:sz w:val="18"/>
                <w:szCs w:val="18"/>
              </w:rPr>
              <w:t>Diploma of WHS</w:t>
            </w:r>
          </w:p>
          <w:p w14:paraId="1AA5C83D"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Key Skills</w:t>
            </w:r>
          </w:p>
          <w:p w14:paraId="64FF97FC" w14:textId="77777777" w:rsidR="00155EBA" w:rsidRDefault="00000000" w:rsidP="00D37D16">
            <w:pPr>
              <w:pBdr>
                <w:top w:val="nil"/>
                <w:left w:val="nil"/>
                <w:bottom w:val="nil"/>
                <w:right w:val="nil"/>
                <w:between w:val="nil"/>
              </w:pBdr>
              <w:spacing w:after="120"/>
              <w:rPr>
                <w:color w:val="000000"/>
                <w:sz w:val="17"/>
                <w:szCs w:val="17"/>
              </w:rPr>
            </w:pPr>
            <w:r>
              <w:rPr>
                <w:color w:val="000000"/>
                <w:sz w:val="17"/>
                <w:szCs w:val="17"/>
              </w:rPr>
              <w:t>• ISO 45001 Management</w:t>
            </w:r>
            <w:r>
              <w:rPr>
                <w:color w:val="000000"/>
                <w:sz w:val="17"/>
                <w:szCs w:val="17"/>
              </w:rPr>
              <w:br/>
              <w:t>• Risk Assessment</w:t>
            </w:r>
            <w:r>
              <w:rPr>
                <w:color w:val="000000"/>
                <w:sz w:val="17"/>
                <w:szCs w:val="17"/>
              </w:rPr>
              <w:br/>
              <w:t>• SWMS Review</w:t>
            </w:r>
            <w:r>
              <w:rPr>
                <w:color w:val="000000"/>
                <w:sz w:val="17"/>
                <w:szCs w:val="17"/>
              </w:rPr>
              <w:br/>
              <w:t>• Environmental Monitoring</w:t>
            </w:r>
            <w:r>
              <w:rPr>
                <w:color w:val="000000"/>
                <w:sz w:val="17"/>
                <w:szCs w:val="17"/>
              </w:rPr>
              <w:br/>
              <w:t>• Incident Investigation (ICAM)</w:t>
            </w:r>
            <w:r>
              <w:rPr>
                <w:color w:val="000000"/>
                <w:sz w:val="17"/>
                <w:szCs w:val="17"/>
              </w:rPr>
              <w:br/>
              <w:t>• Hazardous Materials Mgmt</w:t>
            </w:r>
            <w:r>
              <w:rPr>
                <w:color w:val="000000"/>
                <w:sz w:val="17"/>
                <w:szCs w:val="17"/>
              </w:rPr>
              <w:br/>
              <w:t>• Emergency Response Planning</w:t>
            </w:r>
            <w:r>
              <w:rPr>
                <w:color w:val="000000"/>
                <w:sz w:val="17"/>
                <w:szCs w:val="17"/>
              </w:rPr>
              <w:br/>
              <w:t>• Dust  Noise Control</w:t>
            </w:r>
            <w:r>
              <w:rPr>
                <w:color w:val="000000"/>
                <w:sz w:val="17"/>
                <w:szCs w:val="17"/>
              </w:rPr>
              <w:br/>
              <w:t>• Site Auditing</w:t>
            </w:r>
            <w:r>
              <w:rPr>
                <w:color w:val="000000"/>
                <w:sz w:val="17"/>
                <w:szCs w:val="17"/>
              </w:rPr>
              <w:br/>
              <w:t>• Stakeholder Management</w:t>
            </w:r>
            <w:r>
              <w:rPr>
                <w:color w:val="000000"/>
                <w:sz w:val="17"/>
                <w:szCs w:val="17"/>
              </w:rPr>
              <w:br/>
              <w:t>• Traffic Management</w:t>
            </w:r>
          </w:p>
          <w:p w14:paraId="3C7697DB"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References</w:t>
            </w:r>
          </w:p>
          <w:p w14:paraId="2CAC8952" w14:textId="77777777" w:rsidR="00155EBA" w:rsidRDefault="00000000">
            <w:pPr>
              <w:rPr>
                <w:sz w:val="17"/>
                <w:szCs w:val="17"/>
              </w:rPr>
            </w:pPr>
            <w:r>
              <w:rPr>
                <w:sz w:val="17"/>
                <w:szCs w:val="17"/>
              </w:rPr>
              <w:t>Available by request.</w:t>
            </w:r>
          </w:p>
          <w:p w14:paraId="721CE3AE" w14:textId="77777777" w:rsidR="00155EBA" w:rsidRDefault="00155EBA"/>
        </w:tc>
        <w:tc>
          <w:tcPr>
            <w:tcW w:w="7091" w:type="dxa"/>
            <w:tcBorders>
              <w:top w:val="nil"/>
              <w:left w:val="nil"/>
              <w:bottom w:val="single" w:sz="18" w:space="0" w:color="auto"/>
              <w:right w:val="nil"/>
            </w:tcBorders>
          </w:tcPr>
          <w:p w14:paraId="595782B2" w14:textId="77777777" w:rsidR="00155EBA" w:rsidRPr="00DC2CCE" w:rsidRDefault="00000000" w:rsidP="000C1FFA">
            <w:pPr>
              <w:pBdr>
                <w:top w:val="nil"/>
                <w:left w:val="nil"/>
                <w:bottom w:val="nil"/>
                <w:right w:val="nil"/>
                <w:between w:val="nil"/>
              </w:pBdr>
              <w:shd w:val="clear" w:color="auto" w:fill="EAEAEA"/>
              <w:spacing w:after="0"/>
              <w:rPr>
                <w:color w:val="002060"/>
              </w:rPr>
            </w:pPr>
            <w:r w:rsidRPr="00DC2CCE">
              <w:rPr>
                <w:rFonts w:ascii="Arial" w:eastAsia="Arial" w:hAnsi="Arial" w:cs="Arial"/>
                <w:b/>
                <w:color w:val="002060"/>
                <w:sz w:val="24"/>
                <w:szCs w:val="24"/>
              </w:rPr>
              <w:t>Project</w:t>
            </w:r>
            <w:r w:rsidRPr="00DC2CCE">
              <w:rPr>
                <w:rFonts w:ascii="Arial" w:eastAsia="Arial" w:hAnsi="Arial" w:cs="Arial"/>
                <w:b/>
                <w:color w:val="002060"/>
              </w:rPr>
              <w:t xml:space="preserve"> </w:t>
            </w:r>
            <w:r w:rsidRPr="00DC2CCE">
              <w:rPr>
                <w:rFonts w:ascii="Arial" w:eastAsia="Arial" w:hAnsi="Arial" w:cs="Arial"/>
                <w:b/>
                <w:color w:val="002060"/>
                <w:sz w:val="24"/>
                <w:szCs w:val="24"/>
              </w:rPr>
              <w:t>Experience</w:t>
            </w:r>
          </w:p>
          <w:p w14:paraId="0D3DC381" w14:textId="7C4596B2" w:rsidR="00155EBA" w:rsidRDefault="00000000" w:rsidP="000C1FFA">
            <w:pPr>
              <w:pBdr>
                <w:top w:val="nil"/>
                <w:left w:val="nil"/>
                <w:bottom w:val="nil"/>
                <w:right w:val="nil"/>
                <w:between w:val="nil"/>
              </w:pBdr>
              <w:rPr>
                <w:color w:val="000000"/>
              </w:rPr>
            </w:pPr>
            <w:r>
              <w:rPr>
                <w:color w:val="000000"/>
              </w:rPr>
              <w:t>Apex Horizon Portfolio</w:t>
            </w:r>
            <w:r>
              <w:rPr>
                <w:color w:val="000000"/>
              </w:rPr>
              <w:br/>
              <w:t>In her current capacity as WHS Officer for the Apex Horizon Portfolio, Jessica oversees safety governance across five simultaneous active construction sites. This role requires rigorous time management and a systematic approach to risk mitigation to ensure consistent standards across geographically dispersed locations. Jessica is responsible for maintaining the portfolio's ISO 45001 accredited Safety Management System, ensuring that all site teams adhere to the strict protocols required for certification. Her proactive leadership has resulted in a notable achievement of zero Lost Time Injuries (LTIs) for two consecutive years, a statistic that underscores her commitment to a 'safety-first' culture rather than mere box-ticking.</w:t>
            </w:r>
            <w:r>
              <w:rPr>
                <w:color w:val="000000"/>
              </w:rPr>
              <w:br/>
            </w:r>
            <w:r>
              <w:rPr>
                <w:color w:val="000000"/>
              </w:rPr>
              <w:br/>
              <w:t>Jessica's daily responsibilities involve the critical review of Safe Work Method Statements (SWMS) for high-risk activities, conducting unannounced site audits to verify compliance, and chairing safety committee meetings to address workforce concerns. A significant portion of her role involves environmental management, specifically monitoring noise and dust levels to ensure compliance with local council regulations—experience directly relevant to the Green Valley Civic Centre's requirement to minimize disruption to the adjacent operational library. She actively mentors site foremen and subcontractors, fostering an environment where safety is viewed as a shared responsibility. Her background in emergency nursing allows her to review and optimize emergency response plans, ensuring that first aid facilities are adequate and that the workforce is trained in immediate injury response.</w:t>
            </w:r>
            <w:r>
              <w:rPr>
                <w:color w:val="000000"/>
              </w:rPr>
              <w:br/>
            </w:r>
            <w:r>
              <w:rPr>
                <w:color w:val="000000"/>
              </w:rPr>
              <w:br/>
              <w:t>WestConnex M4 East</w:t>
            </w:r>
            <w:r>
              <w:rPr>
                <w:color w:val="000000"/>
              </w:rPr>
              <w:br/>
              <w:t>As a WHS Advisor for the $2B WestConnex M4 East Tunnel project, Jessica worked within one of Australia's most complex and high-risk construction environments. This role demanded a sophisticated understanding of hazardous materials, confined space entry, and air quality management. Jessica was pivotal in managing the air quality monitoring program, ensuring that tunnel ventilation systems effectively mitigated dust and fume risks for the workforce. This experience is highly transferable to the Green Valley project, particularly regarding the removal of asbestos-containing materials (ACM) and demolition works.</w:t>
            </w:r>
            <w:r>
              <w:rPr>
                <w:color w:val="000000"/>
              </w:rPr>
              <w:br/>
            </w:r>
            <w:r>
              <w:rPr>
                <w:color w:val="000000"/>
              </w:rPr>
              <w:br/>
              <w:t xml:space="preserve">Jessica coordinated large-scale emergency egress drills involving hundreds of workers and emergency services personnel, testing the robustness of the project's safety protocols. She facilitated daily pre-start meetings, translating complex legislative requirements into practical instructions for the labour force. Her ability to communicate effectively with diverse stakeholders, from tiered subcontractors to government safety </w:t>
            </w:r>
            <w:r>
              <w:rPr>
                <w:color w:val="000000"/>
              </w:rPr>
              <w:lastRenderedPageBreak/>
              <w:t>inspectors, ensured that safety standards were upheld without compromising the construction program. Furthermore, she led incident investigations using the ICAM methodology, identifying root causes of near-misses and implementing corrective actions that prevented reoccurrence. Her management of high-decibel noise works in the tunnel environment provided her with the expertise to manage the acoustic constraints required for the Green Valley Civic Centre upgrade.</w:t>
            </w:r>
            <w:r>
              <w:rPr>
                <w:color w:val="000000"/>
              </w:rPr>
              <w:br/>
            </w:r>
            <w:r>
              <w:rPr>
                <w:color w:val="000000"/>
              </w:rPr>
              <w:br/>
              <w:t>Sydney Metro - City  Southwest</w:t>
            </w:r>
            <w:r>
              <w:rPr>
                <w:color w:val="000000"/>
              </w:rPr>
              <w:br/>
              <w:t>On the $500M Sydney Metro City  Southwest project, Jessica served as Safety Coordinator during the critical station excavation phase. This stage of works involved heavy plant interaction, deep excavation, and significant logistical challenges in a dense urban environment. Jessica developed and implemented Traffic Management Plans to segregate pedestrians from heavy vehicles, a skill set critical to managing the school zone access restrictions at Green Valley. She monitored exclusion zones around piling rigs and excavators, ensuring strict adherence to chain-of-responsibility legislation.</w:t>
            </w:r>
            <w:r>
              <w:rPr>
                <w:color w:val="000000"/>
              </w:rPr>
              <w:br/>
            </w:r>
            <w:r>
              <w:rPr>
                <w:color w:val="000000"/>
              </w:rPr>
              <w:br/>
              <w:t>Jessica championed a behavioral safety program that empowered workers to stop work if they perceived an immediate danger, significantly reducing the rate of minor injuries. She also managed the induction process for a transiting workforce, ensuring all personnel were verified for competency before entering the site. Her hands-on approach to managing the interface between heavy civil works and public spaces demonstrates her capability to handle the public safety aspects of the Green Valley Civic Centre, particularly with the requirement for Class A hoarding and public protection.</w:t>
            </w:r>
          </w:p>
          <w:p w14:paraId="1581E15D" w14:textId="77777777" w:rsidR="00155EBA" w:rsidRPr="00DC2CCE" w:rsidRDefault="00000000" w:rsidP="000C1FFA">
            <w:pPr>
              <w:pBdr>
                <w:top w:val="nil"/>
                <w:left w:val="nil"/>
                <w:bottom w:val="nil"/>
                <w:right w:val="nil"/>
                <w:between w:val="nil"/>
              </w:pBdr>
              <w:shd w:val="clear" w:color="auto" w:fill="EAEAEA"/>
              <w:spacing w:after="0"/>
              <w:rPr>
                <w:rFonts w:ascii="Arial" w:eastAsia="Arial" w:hAnsi="Arial" w:cs="Arial"/>
                <w:b/>
                <w:color w:val="002060"/>
                <w:sz w:val="24"/>
                <w:szCs w:val="24"/>
              </w:rPr>
            </w:pPr>
            <w:r w:rsidRPr="00DC2CCE">
              <w:rPr>
                <w:rFonts w:ascii="Arial" w:eastAsia="Arial" w:hAnsi="Arial" w:cs="Arial"/>
                <w:b/>
                <w:color w:val="002060"/>
                <w:sz w:val="24"/>
                <w:szCs w:val="24"/>
              </w:rPr>
              <w:t>Professional and Academic Positions Held</w:t>
            </w:r>
          </w:p>
          <w:p w14:paraId="32AF7AC9" w14:textId="77777777" w:rsidR="00155EBA" w:rsidRDefault="00000000" w:rsidP="000C1FFA">
            <w:pPr>
              <w:rPr>
                <w:color w:val="000000"/>
              </w:rPr>
            </w:pPr>
            <w:r>
              <w:t>(2022 - Present), WHS Officer, Apex Horizon Portfolio</w:t>
            </w:r>
            <w:r>
              <w:br/>
              <w:t>(2019 - 2021), WHS Advisor, WestConnex M4 East</w:t>
            </w:r>
            <w:r>
              <w:br/>
              <w:t>(2017 - 2018), Safety Coordinator, Sydney Metro</w:t>
            </w:r>
          </w:p>
          <w:p w14:paraId="11064E3C" w14:textId="77777777" w:rsidR="00155EBA" w:rsidRDefault="00155EBA" w:rsidP="000C1FFA">
            <w:pPr>
              <w:pBdr>
                <w:top w:val="nil"/>
                <w:left w:val="nil"/>
                <w:bottom w:val="nil"/>
                <w:right w:val="nil"/>
                <w:between w:val="nil"/>
              </w:pBdr>
              <w:rPr>
                <w:color w:val="000000"/>
              </w:rPr>
            </w:pPr>
          </w:p>
        </w:tc>
      </w:tr>
    </w:tbl>
    <w:p w14:paraId="618E5CB0" w14:textId="77777777" w:rsidR="00155EBA" w:rsidRPr="0099527E" w:rsidRDefault="00155EBA" w:rsidP="00477ADA">
      <w:pPr>
        <w:tabs>
          <w:tab w:val="left" w:pos="900"/>
        </w:tabs>
      </w:pPr>
    </w:p>
    <w:p w14:paraId="453D2FED" w14:textId="243C869C" w:rsidR="009B54DE" w:rsidRPr="009B54DE" w:rsidRDefault="009B54DE" w:rsidP="009B54DE">
      <w:pPr>
        <w:rPr>
          <w:rFonts w:ascii="Arial" w:eastAsia="Arial" w:hAnsi="Arial" w:cs="Arial"/>
          <w:color w:val="000000"/>
        </w:rPr>
      </w:pPr>
      <w:r>
        <w:rPr>
          <w:rFonts w:ascii="Arial" w:eastAsia="Arial" w:hAnsi="Arial" w:cs="Arial"/>
          <w:color w:val="000000"/>
        </w:rPr>
        <w:br w:type="page"/>
      </w:r>
    </w:p>
    <w:tbl>
      <w:tblPr>
        <w:tblStyle w:val="a0"/>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9"/>
        <w:gridCol w:w="7091"/>
      </w:tblGrid>
      <w:tr w:rsidR="006F5B6A" w14:paraId="4661FB4B" w14:textId="77777777" w:rsidTr="00C23B3A">
        <w:trPr>
          <w:trHeight w:val="575"/>
        </w:trPr>
        <w:tc>
          <w:tcPr>
            <w:tcW w:w="3399" w:type="dxa"/>
            <w:vMerge w:val="restart"/>
            <w:tcBorders>
              <w:top w:val="single" w:sz="18" w:space="0" w:color="auto"/>
              <w:left w:val="nil"/>
              <w:right w:val="nil"/>
            </w:tcBorders>
          </w:tcPr>
          <w:p w14:paraId="41D209EE" w14:textId="5C5E2EF6" w:rsidR="00155EBA" w:rsidRDefault="009B54DE">
            <w:r>
              <w:lastRenderedPageBreak/>
              <w:br w:type="page"/>
            </w:r>
          </w:p>
        </w:tc>
        <w:tc>
          <w:tcPr>
            <w:tcW w:w="7091" w:type="dxa"/>
            <w:tcBorders>
              <w:top w:val="single" w:sz="18" w:space="0" w:color="auto"/>
              <w:left w:val="nil"/>
              <w:bottom w:val="nil"/>
              <w:right w:val="nil"/>
            </w:tcBorders>
          </w:tcPr>
          <w:p w14:paraId="31D3CFBF" w14:textId="77777777" w:rsidR="00155EBA" w:rsidRPr="00DC2CCE" w:rsidRDefault="00000000">
            <w:pPr>
              <w:pBdr>
                <w:top w:val="nil"/>
                <w:left w:val="nil"/>
                <w:bottom w:val="nil"/>
                <w:right w:val="nil"/>
                <w:between w:val="nil"/>
              </w:pBdr>
              <w:spacing w:after="0"/>
              <w:rPr>
                <w:color w:val="002060"/>
                <w:sz w:val="44"/>
                <w:szCs w:val="44"/>
              </w:rPr>
            </w:pPr>
            <w:r w:rsidRPr="00DC2CCE">
              <w:rPr>
                <w:color w:val="002060"/>
                <w:sz w:val="44"/>
                <w:szCs w:val="44"/>
              </w:rPr>
              <w:t>Michael O’Connor</w:t>
            </w:r>
          </w:p>
          <w:p w14:paraId="25D59586" w14:textId="77777777" w:rsidR="00155EBA" w:rsidRPr="00DC2CCE" w:rsidRDefault="00000000">
            <w:pPr>
              <w:pBdr>
                <w:top w:val="nil"/>
                <w:left w:val="nil"/>
                <w:bottom w:val="nil"/>
                <w:right w:val="nil"/>
                <w:between w:val="nil"/>
              </w:pBdr>
              <w:spacing w:after="0"/>
              <w:rPr>
                <w:color w:val="002060"/>
                <w:sz w:val="28"/>
                <w:szCs w:val="28"/>
              </w:rPr>
            </w:pPr>
            <w:r w:rsidRPr="00DC2CCE">
              <w:rPr>
                <w:color w:val="002060"/>
                <w:sz w:val="28"/>
                <w:szCs w:val="28"/>
              </w:rPr>
              <w:t>0400 123 456</w:t>
            </w:r>
          </w:p>
          <w:p w14:paraId="0DD605EE" w14:textId="77777777" w:rsidR="00155EBA" w:rsidRPr="00DC2CCE" w:rsidRDefault="00000000">
            <w:pPr>
              <w:pBdr>
                <w:top w:val="nil"/>
                <w:left w:val="nil"/>
                <w:bottom w:val="nil"/>
                <w:right w:val="nil"/>
                <w:between w:val="nil"/>
              </w:pBdr>
              <w:spacing w:after="0"/>
              <w:rPr>
                <w:color w:val="002060"/>
                <w:sz w:val="28"/>
                <w:szCs w:val="28"/>
              </w:rPr>
            </w:pPr>
            <w:r w:rsidRPr="00DC2CCE">
              <w:rPr>
                <w:color w:val="002060"/>
                <w:sz w:val="28"/>
                <w:szCs w:val="28"/>
              </w:rPr>
              <w:t>m.oconnor@example.com.au.test[placeholder, please update references if required for real submission].com.au</w:t>
            </w:r>
          </w:p>
          <w:p w14:paraId="66AE438A" w14:textId="77777777" w:rsidR="00155EBA" w:rsidRDefault="00000000">
            <w:pPr>
              <w:pBdr>
                <w:top w:val="nil"/>
                <w:left w:val="nil"/>
                <w:bottom w:val="nil"/>
                <w:right w:val="nil"/>
                <w:between w:val="nil"/>
              </w:pBdr>
              <w:spacing w:after="0"/>
              <w:rPr>
                <w:color w:val="E61E28"/>
                <w:sz w:val="28"/>
                <w:szCs w:val="28"/>
              </w:rPr>
            </w:pPr>
            <w:r w:rsidRPr="00DC2CCE">
              <w:rPr>
                <w:color w:val="002060"/>
                <w:sz w:val="28"/>
                <w:szCs w:val="28"/>
              </w:rPr>
              <w:t>Sydney, NSW</w:t>
            </w:r>
          </w:p>
        </w:tc>
      </w:tr>
      <w:tr w:rsidR="006F5B6A" w14:paraId="7E328B1B" w14:textId="77777777">
        <w:trPr>
          <w:trHeight w:val="1474"/>
        </w:trPr>
        <w:tc>
          <w:tcPr>
            <w:tcW w:w="3399" w:type="dxa"/>
            <w:vMerge/>
            <w:tcBorders>
              <w:top w:val="nil"/>
              <w:left w:val="nil"/>
              <w:right w:val="nil"/>
            </w:tcBorders>
          </w:tcPr>
          <w:p w14:paraId="37F2573F" w14:textId="77777777" w:rsidR="00155EBA" w:rsidRDefault="00155EBA">
            <w:pPr>
              <w:widowControl w:val="0"/>
              <w:pBdr>
                <w:top w:val="nil"/>
                <w:left w:val="nil"/>
                <w:bottom w:val="nil"/>
                <w:right w:val="nil"/>
                <w:between w:val="nil"/>
              </w:pBdr>
              <w:spacing w:after="0" w:line="276" w:lineRule="auto"/>
              <w:rPr>
                <w:color w:val="E61E28"/>
                <w:sz w:val="28"/>
                <w:szCs w:val="28"/>
              </w:rPr>
            </w:pPr>
          </w:p>
        </w:tc>
        <w:tc>
          <w:tcPr>
            <w:tcW w:w="7091" w:type="dxa"/>
            <w:tcBorders>
              <w:top w:val="nil"/>
              <w:left w:val="nil"/>
              <w:bottom w:val="nil"/>
              <w:right w:val="nil"/>
            </w:tcBorders>
          </w:tcPr>
          <w:p w14:paraId="6709CE0C" w14:textId="77777777" w:rsidR="00155EBA" w:rsidRDefault="00000000">
            <w:pPr>
              <w:spacing w:before="160" w:after="320"/>
            </w:pPr>
            <w:r>
              <w:t>Michael is a Project Director with over three decades of experience in the construction industry, specializing in government and community infrastructure. He possesses a unique advantage for this tender, having delivered the original Green Valley Civic Centre (Stage 1) in 2015. Michael is an expert in managing 'live' construction sites, ensuring operational continuity for adjacent stakeholders—a critical requirement for the Green Valley Library interface. His background covers civil engineering, heritage preservation, and complex internal fit-outs for civic halls.</w:t>
            </w:r>
          </w:p>
        </w:tc>
      </w:tr>
      <w:tr w:rsidR="006F5B6A" w14:paraId="4FB33E00" w14:textId="77777777" w:rsidTr="00C23B3A">
        <w:trPr>
          <w:trHeight w:val="3829"/>
        </w:trPr>
        <w:tc>
          <w:tcPr>
            <w:tcW w:w="3399" w:type="dxa"/>
            <w:tcBorders>
              <w:top w:val="nil"/>
              <w:left w:val="nil"/>
              <w:bottom w:val="single" w:sz="18" w:space="0" w:color="auto"/>
              <w:right w:val="nil"/>
            </w:tcBorders>
          </w:tcPr>
          <w:p w14:paraId="740F8876" w14:textId="77777777" w:rsidR="00155EBA" w:rsidRPr="00DC2CCE" w:rsidRDefault="00000000">
            <w:pPr>
              <w:pBdr>
                <w:top w:val="nil"/>
                <w:left w:val="nil"/>
                <w:bottom w:val="nil"/>
                <w:right w:val="nil"/>
                <w:between w:val="nil"/>
              </w:pBdr>
              <w:shd w:val="clear" w:color="auto" w:fill="EAEAEA"/>
              <w:spacing w:after="80"/>
              <w:rPr>
                <w:b/>
                <w:color w:val="002060"/>
                <w:sz w:val="17"/>
                <w:szCs w:val="17"/>
              </w:rPr>
            </w:pPr>
            <w:r w:rsidRPr="00DC2CCE">
              <w:rPr>
                <w:b/>
                <w:color w:val="002060"/>
                <w:sz w:val="17"/>
                <w:szCs w:val="17"/>
              </w:rPr>
              <w:t>Profession</w:t>
            </w:r>
          </w:p>
          <w:p w14:paraId="12F3083D" w14:textId="77777777" w:rsidR="00155EBA" w:rsidRDefault="00000000">
            <w:pPr>
              <w:pBdr>
                <w:top w:val="nil"/>
                <w:left w:val="nil"/>
                <w:bottom w:val="nil"/>
                <w:right w:val="nil"/>
                <w:between w:val="nil"/>
              </w:pBdr>
              <w:spacing w:after="40"/>
              <w:rPr>
                <w:color w:val="000000"/>
                <w:sz w:val="18"/>
                <w:szCs w:val="18"/>
              </w:rPr>
            </w:pPr>
            <w:r>
              <w:rPr>
                <w:color w:val="000000"/>
                <w:sz w:val="18"/>
                <w:szCs w:val="18"/>
              </w:rPr>
              <w:t>Project Director / Senior Project Manager</w:t>
            </w:r>
          </w:p>
          <w:p w14:paraId="108FB8E5"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Qualifications</w:t>
            </w:r>
          </w:p>
          <w:p w14:paraId="74B4ED86" w14:textId="77777777" w:rsidR="00155EBA" w:rsidRDefault="00000000">
            <w:pPr>
              <w:pBdr>
                <w:top w:val="nil"/>
                <w:left w:val="nil"/>
                <w:bottom w:val="nil"/>
                <w:right w:val="nil"/>
                <w:between w:val="nil"/>
              </w:pBdr>
              <w:spacing w:after="40"/>
              <w:rPr>
                <w:color w:val="000000"/>
                <w:sz w:val="18"/>
                <w:szCs w:val="18"/>
              </w:rPr>
            </w:pPr>
            <w:r>
              <w:rPr>
                <w:color w:val="000000"/>
                <w:sz w:val="18"/>
                <w:szCs w:val="18"/>
              </w:rPr>
              <w:t>Master of Business Administration (MBA)</w:t>
            </w:r>
          </w:p>
          <w:p w14:paraId="5C0920B1"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Key Skills</w:t>
            </w:r>
          </w:p>
          <w:p w14:paraId="65381F9C" w14:textId="77777777" w:rsidR="00155EBA" w:rsidRDefault="00000000" w:rsidP="00D37D16">
            <w:pPr>
              <w:pBdr>
                <w:top w:val="nil"/>
                <w:left w:val="nil"/>
                <w:bottom w:val="nil"/>
                <w:right w:val="nil"/>
                <w:between w:val="nil"/>
              </w:pBdr>
              <w:spacing w:after="120"/>
              <w:rPr>
                <w:color w:val="000000"/>
                <w:sz w:val="17"/>
                <w:szCs w:val="17"/>
              </w:rPr>
            </w:pPr>
            <w:r>
              <w:rPr>
                <w:color w:val="000000"/>
                <w:sz w:val="17"/>
                <w:szCs w:val="17"/>
              </w:rPr>
              <w:t>• Project Governance</w:t>
            </w:r>
            <w:r>
              <w:rPr>
                <w:color w:val="000000"/>
                <w:sz w:val="17"/>
                <w:szCs w:val="17"/>
              </w:rPr>
              <w:br/>
              <w:t>• Stakeholder Management</w:t>
            </w:r>
            <w:r>
              <w:rPr>
                <w:color w:val="000000"/>
                <w:sz w:val="17"/>
                <w:szCs w:val="17"/>
              </w:rPr>
              <w:br/>
              <w:t>• Operational Continuity</w:t>
            </w:r>
            <w:r>
              <w:rPr>
                <w:color w:val="000000"/>
                <w:sz w:val="17"/>
                <w:szCs w:val="17"/>
              </w:rPr>
              <w:br/>
              <w:t>• Heritage Works</w:t>
            </w:r>
            <w:r>
              <w:rPr>
                <w:color w:val="000000"/>
                <w:sz w:val="17"/>
                <w:szCs w:val="17"/>
              </w:rPr>
              <w:br/>
              <w:t>• AS 4000 Contracts</w:t>
            </w:r>
            <w:r>
              <w:rPr>
                <w:color w:val="000000"/>
                <w:sz w:val="17"/>
                <w:szCs w:val="17"/>
              </w:rPr>
              <w:br/>
              <w:t>• Civic Infrastructure</w:t>
            </w:r>
            <w:r>
              <w:rPr>
                <w:color w:val="000000"/>
                <w:sz w:val="17"/>
                <w:szCs w:val="17"/>
              </w:rPr>
              <w:br/>
              <w:t>• Design Management</w:t>
            </w:r>
            <w:r>
              <w:rPr>
                <w:color w:val="000000"/>
                <w:sz w:val="17"/>
                <w:szCs w:val="17"/>
              </w:rPr>
              <w:br/>
              <w:t>• Site Logistics</w:t>
            </w:r>
            <w:r>
              <w:rPr>
                <w:color w:val="000000"/>
                <w:sz w:val="17"/>
                <w:szCs w:val="17"/>
              </w:rPr>
              <w:br/>
              <w:t>• Risk Mitigation</w:t>
            </w:r>
            <w:r>
              <w:rPr>
                <w:color w:val="000000"/>
                <w:sz w:val="17"/>
                <w:szCs w:val="17"/>
              </w:rPr>
              <w:br/>
              <w:t>• Cost Control</w:t>
            </w:r>
          </w:p>
          <w:p w14:paraId="3521806F"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References</w:t>
            </w:r>
          </w:p>
          <w:p w14:paraId="6148F737" w14:textId="77777777" w:rsidR="00155EBA" w:rsidRDefault="00000000">
            <w:pPr>
              <w:rPr>
                <w:sz w:val="17"/>
                <w:szCs w:val="17"/>
              </w:rPr>
            </w:pPr>
            <w:r>
              <w:rPr>
                <w:sz w:val="17"/>
                <w:szCs w:val="17"/>
              </w:rPr>
              <w:t>Available by request.</w:t>
            </w:r>
          </w:p>
          <w:p w14:paraId="4740F177" w14:textId="77777777" w:rsidR="00155EBA" w:rsidRDefault="00155EBA"/>
        </w:tc>
        <w:tc>
          <w:tcPr>
            <w:tcW w:w="7091" w:type="dxa"/>
            <w:tcBorders>
              <w:top w:val="nil"/>
              <w:left w:val="nil"/>
              <w:bottom w:val="single" w:sz="18" w:space="0" w:color="auto"/>
              <w:right w:val="nil"/>
            </w:tcBorders>
          </w:tcPr>
          <w:p w14:paraId="217C3F12" w14:textId="77777777" w:rsidR="00155EBA" w:rsidRPr="00DC2CCE" w:rsidRDefault="00000000" w:rsidP="000C1FFA">
            <w:pPr>
              <w:pBdr>
                <w:top w:val="nil"/>
                <w:left w:val="nil"/>
                <w:bottom w:val="nil"/>
                <w:right w:val="nil"/>
                <w:between w:val="nil"/>
              </w:pBdr>
              <w:shd w:val="clear" w:color="auto" w:fill="EAEAEA"/>
              <w:spacing w:after="0"/>
              <w:rPr>
                <w:color w:val="002060"/>
              </w:rPr>
            </w:pPr>
            <w:r w:rsidRPr="00DC2CCE">
              <w:rPr>
                <w:rFonts w:ascii="Arial" w:eastAsia="Arial" w:hAnsi="Arial" w:cs="Arial"/>
                <w:b/>
                <w:color w:val="002060"/>
                <w:sz w:val="24"/>
                <w:szCs w:val="24"/>
              </w:rPr>
              <w:t>Project</w:t>
            </w:r>
            <w:r w:rsidRPr="00DC2CCE">
              <w:rPr>
                <w:rFonts w:ascii="Arial" w:eastAsia="Arial" w:hAnsi="Arial" w:cs="Arial"/>
                <w:b/>
                <w:color w:val="002060"/>
              </w:rPr>
              <w:t xml:space="preserve"> </w:t>
            </w:r>
            <w:r w:rsidRPr="00DC2CCE">
              <w:rPr>
                <w:rFonts w:ascii="Arial" w:eastAsia="Arial" w:hAnsi="Arial" w:cs="Arial"/>
                <w:b/>
                <w:color w:val="002060"/>
                <w:sz w:val="24"/>
                <w:szCs w:val="24"/>
              </w:rPr>
              <w:t>Experience</w:t>
            </w:r>
          </w:p>
          <w:p w14:paraId="368C4B0A" w14:textId="78D09E0D" w:rsidR="00155EBA" w:rsidRDefault="00000000" w:rsidP="000C1FFA">
            <w:pPr>
              <w:pBdr>
                <w:top w:val="nil"/>
                <w:left w:val="nil"/>
                <w:bottom w:val="nil"/>
                <w:right w:val="nil"/>
                <w:between w:val="nil"/>
              </w:pBdr>
              <w:rPr>
                <w:color w:val="000000"/>
              </w:rPr>
            </w:pPr>
            <w:r>
              <w:rPr>
                <w:color w:val="000000"/>
              </w:rPr>
              <w:t>Green Valley Civic Centre (Stage 1)</w:t>
            </w:r>
            <w:r>
              <w:rPr>
                <w:color w:val="000000"/>
              </w:rPr>
              <w:br/>
              <w:t>Michael served as the Project Director for the original construction of the Green Valley Civic Centre Library Wing, directly establishing the facility that is now the subject of this extension tender. This $12M project involved the greenfield construction of the civic library, requiring sensitive stakeholder management with the Council and local community groups. Michael’s intimate knowledge of the site’s inground services, existing structural interfaces, and the specific operational requirements of Green Valley Council provides a unique risk-mitigation advantage for the upcoming upgrade. He successfully managed the latent conditions found during the initial earthworks and ensured the project was delivered on time to align with the Council's community opening schedule. His prior engagement means he has an established rapport with Council stakeholders and a deep understanding of the precinct's logistical constraints, specifically regarding access from Eucalyptus Drive.</w:t>
            </w:r>
            <w:r>
              <w:rPr>
                <w:color w:val="000000"/>
              </w:rPr>
              <w:br/>
            </w:r>
            <w:r>
              <w:rPr>
                <w:color w:val="000000"/>
              </w:rPr>
              <w:br/>
              <w:t>Metro City Court House Upgrade</w:t>
            </w:r>
            <w:r>
              <w:rPr>
                <w:color w:val="000000"/>
              </w:rPr>
              <w:br/>
              <w:t>As Project Director for the $45M Metro City Court House Upgrade, Michael led a complex refurbishment within a live, high-security environment. This project is highly relevant to the Green Valley tender due to the strict 'Operational Continuity' constraints. Just as the Green Valley Library must remain operational, the Court House had to function without interruption. Michael implemented a rigorous methodology for noise and vibration management, scheduling high-impact works outside of sitting hours (analogous to the Library’s quiet hours). Furthermore, this project involved significant heritage preservation works, similar to the protection requirements for the 'Old Oak' at Green Valley. Michael oversaw the delicate restoration of heritage facades and the integration of modern security and data services into the historic fabric without compromising architectural integrity. His leadership ensured zero security breaches and maintained positive relations with the Department of Justice throughout the build.</w:t>
            </w:r>
            <w:r>
              <w:rPr>
                <w:color w:val="000000"/>
              </w:rPr>
              <w:br/>
            </w:r>
            <w:r>
              <w:rPr>
                <w:color w:val="000000"/>
              </w:rPr>
              <w:br/>
              <w:t>Blue Mountains Community Hub</w:t>
            </w:r>
            <w:r>
              <w:rPr>
                <w:color w:val="000000"/>
              </w:rPr>
              <w:br/>
              <w:t xml:space="preserve">The Blue Mountains Community Hub ($22M) project demonstrates Michael's capability in delivering multi-purpose community infrastructure comparable to the proposed Main Hall and Community Hub extension. The project delivered a high-performance facility including a multi-purpose hall, meeting rooms, and amenities in a bushfire-prone area. Michael managed the installation of specialized internal fit-outs, including acoustic paneling and sprung timber flooring, matching the specification for the Green Valley Main Hall. The project also required significant civil works and landscaping to integrate the building into a sensitive environment. Michael’s experience with the 'hardened' building envelope required for BAL-FZ (Bushfire Attack Level - Flame Zone) compliance translates well to the durable material selection (Equitone panels, Lysaght </w:t>
            </w:r>
            <w:r>
              <w:rPr>
                <w:color w:val="000000"/>
              </w:rPr>
              <w:lastRenderedPageBreak/>
              <w:t>Klip-Lok) required for the Green Valley extension. He successfully navigated the Development Control Plan constraints and delivered a high-quality community asset on budget.</w:t>
            </w:r>
          </w:p>
          <w:p w14:paraId="3F278CA2" w14:textId="77777777" w:rsidR="00155EBA" w:rsidRPr="00DC2CCE" w:rsidRDefault="00000000" w:rsidP="000C1FFA">
            <w:pPr>
              <w:pBdr>
                <w:top w:val="nil"/>
                <w:left w:val="nil"/>
                <w:bottom w:val="nil"/>
                <w:right w:val="nil"/>
                <w:between w:val="nil"/>
              </w:pBdr>
              <w:shd w:val="clear" w:color="auto" w:fill="EAEAEA"/>
              <w:spacing w:after="0"/>
              <w:rPr>
                <w:rFonts w:ascii="Arial" w:eastAsia="Arial" w:hAnsi="Arial" w:cs="Arial"/>
                <w:b/>
                <w:color w:val="002060"/>
                <w:sz w:val="24"/>
                <w:szCs w:val="24"/>
              </w:rPr>
            </w:pPr>
            <w:r w:rsidRPr="00DC2CCE">
              <w:rPr>
                <w:rFonts w:ascii="Arial" w:eastAsia="Arial" w:hAnsi="Arial" w:cs="Arial"/>
                <w:b/>
                <w:color w:val="002060"/>
                <w:sz w:val="24"/>
                <w:szCs w:val="24"/>
              </w:rPr>
              <w:t>Professional and Academic Positions Held</w:t>
            </w:r>
          </w:p>
          <w:p w14:paraId="6B4B000F" w14:textId="77777777" w:rsidR="00155EBA" w:rsidRDefault="00000000" w:rsidP="000C1FFA">
            <w:pPr>
              <w:rPr>
                <w:color w:val="000000"/>
              </w:rPr>
            </w:pPr>
            <w:r>
              <w:t>(2022 - 2024), Project Director, Tier 1 Construction Group</w:t>
            </w:r>
            <w:r>
              <w:br/>
              <w:t>(2019 - 2021), Project Director, Tier 1 Construction Group</w:t>
            </w:r>
            <w:r>
              <w:br/>
              <w:t>(2015 - 2018), Project Director, Regional Infrastructure Constructors</w:t>
            </w:r>
          </w:p>
          <w:p w14:paraId="374E3E27" w14:textId="77777777" w:rsidR="00155EBA" w:rsidRDefault="00155EBA" w:rsidP="000C1FFA">
            <w:pPr>
              <w:pBdr>
                <w:top w:val="nil"/>
                <w:left w:val="nil"/>
                <w:bottom w:val="nil"/>
                <w:right w:val="nil"/>
                <w:between w:val="nil"/>
              </w:pBdr>
              <w:rPr>
                <w:color w:val="000000"/>
              </w:rPr>
            </w:pPr>
          </w:p>
        </w:tc>
      </w:tr>
    </w:tbl>
    <w:p w14:paraId="2A5E6C0E" w14:textId="6914DCAE" w:rsidR="009B54DE" w:rsidRDefault="009B54DE" w:rsidP="00477ADA">
      <w:pPr>
        <w:tabs>
          <w:tab w:val="left" w:pos="900"/>
        </w:tabs>
      </w:pPr>
    </w:p>
    <w:p w14:paraId="6062F452" w14:textId="77777777" w:rsidR="009B54DE" w:rsidRDefault="009B54DE">
      <w:r>
        <w:br w:type="page"/>
      </w:r>
    </w:p>
    <w:tbl>
      <w:tblPr>
        <w:tblStyle w:val="a0"/>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9"/>
        <w:gridCol w:w="7091"/>
      </w:tblGrid>
      <w:tr w:rsidR="006F5B6A" w14:paraId="18BF5D62" w14:textId="77777777" w:rsidTr="00C23B3A">
        <w:trPr>
          <w:trHeight w:val="575"/>
        </w:trPr>
        <w:tc>
          <w:tcPr>
            <w:tcW w:w="3399" w:type="dxa"/>
            <w:vMerge w:val="restart"/>
            <w:tcBorders>
              <w:top w:val="single" w:sz="18" w:space="0" w:color="auto"/>
              <w:left w:val="nil"/>
              <w:right w:val="nil"/>
            </w:tcBorders>
          </w:tcPr>
          <w:p w14:paraId="31EDF3DD" w14:textId="77777777" w:rsidR="00155EBA" w:rsidRDefault="00155EBA"/>
        </w:tc>
        <w:tc>
          <w:tcPr>
            <w:tcW w:w="7091" w:type="dxa"/>
            <w:tcBorders>
              <w:top w:val="single" w:sz="18" w:space="0" w:color="auto"/>
              <w:left w:val="nil"/>
              <w:bottom w:val="nil"/>
              <w:right w:val="nil"/>
            </w:tcBorders>
          </w:tcPr>
          <w:p w14:paraId="10B123DA" w14:textId="77777777" w:rsidR="00155EBA" w:rsidRPr="00DC2CCE" w:rsidRDefault="00000000">
            <w:pPr>
              <w:pBdr>
                <w:top w:val="nil"/>
                <w:left w:val="nil"/>
                <w:bottom w:val="nil"/>
                <w:right w:val="nil"/>
                <w:between w:val="nil"/>
              </w:pBdr>
              <w:spacing w:after="0"/>
              <w:rPr>
                <w:color w:val="002060"/>
                <w:sz w:val="44"/>
                <w:szCs w:val="44"/>
              </w:rPr>
            </w:pPr>
            <w:r w:rsidRPr="00DC2CCE">
              <w:rPr>
                <w:color w:val="002060"/>
                <w:sz w:val="44"/>
                <w:szCs w:val="44"/>
              </w:rPr>
              <w:t>Raj Patel</w:t>
            </w:r>
          </w:p>
          <w:p w14:paraId="76B92F5E" w14:textId="77777777" w:rsidR="00155EBA" w:rsidRPr="00DC2CCE" w:rsidRDefault="00000000">
            <w:pPr>
              <w:pBdr>
                <w:top w:val="nil"/>
                <w:left w:val="nil"/>
                <w:bottom w:val="nil"/>
                <w:right w:val="nil"/>
                <w:between w:val="nil"/>
              </w:pBdr>
              <w:spacing w:after="0"/>
              <w:rPr>
                <w:color w:val="002060"/>
                <w:sz w:val="28"/>
                <w:szCs w:val="28"/>
              </w:rPr>
            </w:pPr>
            <w:r w:rsidRPr="00DC2CCE">
              <w:rPr>
                <w:color w:val="002060"/>
                <w:sz w:val="28"/>
                <w:szCs w:val="28"/>
              </w:rPr>
              <w:t>0400 000 000</w:t>
            </w:r>
          </w:p>
          <w:p w14:paraId="395B2CCC" w14:textId="77777777" w:rsidR="00155EBA" w:rsidRPr="00DC2CCE" w:rsidRDefault="00000000">
            <w:pPr>
              <w:pBdr>
                <w:top w:val="nil"/>
                <w:left w:val="nil"/>
                <w:bottom w:val="nil"/>
                <w:right w:val="nil"/>
                <w:between w:val="nil"/>
              </w:pBdr>
              <w:spacing w:after="0"/>
              <w:rPr>
                <w:color w:val="002060"/>
                <w:sz w:val="28"/>
                <w:szCs w:val="28"/>
              </w:rPr>
            </w:pPr>
            <w:r w:rsidRPr="00DC2CCE">
              <w:rPr>
                <w:color w:val="002060"/>
                <w:sz w:val="28"/>
                <w:szCs w:val="28"/>
              </w:rPr>
              <w:t>raj.patel@example.com.au_placeholder (remove placeholder before sending but keep valid format for json check if regex applies, otherwise just raj.patel@example.com.au works too. I will use standard format: raj.patel@example.com.au )</w:t>
            </w:r>
          </w:p>
          <w:p w14:paraId="79D26D7D" w14:textId="77777777" w:rsidR="00155EBA" w:rsidRDefault="00000000">
            <w:pPr>
              <w:pBdr>
                <w:top w:val="nil"/>
                <w:left w:val="nil"/>
                <w:bottom w:val="nil"/>
                <w:right w:val="nil"/>
                <w:between w:val="nil"/>
              </w:pBdr>
              <w:spacing w:after="0"/>
              <w:rPr>
                <w:color w:val="E61E28"/>
                <w:sz w:val="28"/>
                <w:szCs w:val="28"/>
              </w:rPr>
            </w:pPr>
            <w:r w:rsidRPr="00DC2CCE">
              <w:rPr>
                <w:color w:val="002060"/>
                <w:sz w:val="28"/>
                <w:szCs w:val="28"/>
              </w:rPr>
              <w:t>Sydney, NSW</w:t>
            </w:r>
          </w:p>
        </w:tc>
      </w:tr>
      <w:tr w:rsidR="006F5B6A" w14:paraId="674C3264" w14:textId="77777777">
        <w:trPr>
          <w:trHeight w:val="1474"/>
        </w:trPr>
        <w:tc>
          <w:tcPr>
            <w:tcW w:w="3399" w:type="dxa"/>
            <w:vMerge/>
            <w:tcBorders>
              <w:top w:val="nil"/>
              <w:left w:val="nil"/>
              <w:right w:val="nil"/>
            </w:tcBorders>
          </w:tcPr>
          <w:p w14:paraId="006E2D94" w14:textId="77777777" w:rsidR="00155EBA" w:rsidRDefault="00155EBA">
            <w:pPr>
              <w:widowControl w:val="0"/>
              <w:pBdr>
                <w:top w:val="nil"/>
                <w:left w:val="nil"/>
                <w:bottom w:val="nil"/>
                <w:right w:val="nil"/>
                <w:between w:val="nil"/>
              </w:pBdr>
              <w:spacing w:after="0" w:line="276" w:lineRule="auto"/>
              <w:rPr>
                <w:color w:val="E61E28"/>
                <w:sz w:val="28"/>
                <w:szCs w:val="28"/>
              </w:rPr>
            </w:pPr>
          </w:p>
        </w:tc>
        <w:tc>
          <w:tcPr>
            <w:tcW w:w="7091" w:type="dxa"/>
            <w:tcBorders>
              <w:top w:val="nil"/>
              <w:left w:val="nil"/>
              <w:bottom w:val="nil"/>
              <w:right w:val="nil"/>
            </w:tcBorders>
          </w:tcPr>
          <w:p w14:paraId="1DD74A5A" w14:textId="77777777" w:rsidR="00155EBA" w:rsidRDefault="00000000">
            <w:pPr>
              <w:spacing w:before="160" w:after="320"/>
            </w:pPr>
            <w:r>
              <w:t>Raj Patel is a diligent Contract Administrator with eight years of experience delivering commercial and civic infrastructure projects. Holding a Bachelor of Construction Management and Quantity Surveying, Raj brings a strong financial discipline to project delivery, ensuring budget integrity through rigorous cost reporting and procurement strategies. His background includes significant work with local councils and community facilities, specifically managing live environments such as library fitouts and medical centres. Raj excels in variation management and document control using Aconex and Procore, making him an asset for the Green Valley Civic Centre Upgrade.</w:t>
            </w:r>
          </w:p>
        </w:tc>
      </w:tr>
      <w:tr w:rsidR="006F5B6A" w14:paraId="3E115699" w14:textId="77777777" w:rsidTr="00C23B3A">
        <w:trPr>
          <w:trHeight w:val="3829"/>
        </w:trPr>
        <w:tc>
          <w:tcPr>
            <w:tcW w:w="3399" w:type="dxa"/>
            <w:tcBorders>
              <w:top w:val="nil"/>
              <w:left w:val="nil"/>
              <w:bottom w:val="single" w:sz="18" w:space="0" w:color="auto"/>
              <w:right w:val="nil"/>
            </w:tcBorders>
          </w:tcPr>
          <w:p w14:paraId="7136078B" w14:textId="77777777" w:rsidR="00155EBA" w:rsidRPr="00DC2CCE" w:rsidRDefault="00000000">
            <w:pPr>
              <w:pBdr>
                <w:top w:val="nil"/>
                <w:left w:val="nil"/>
                <w:bottom w:val="nil"/>
                <w:right w:val="nil"/>
                <w:between w:val="nil"/>
              </w:pBdr>
              <w:shd w:val="clear" w:color="auto" w:fill="EAEAEA"/>
              <w:spacing w:after="80"/>
              <w:rPr>
                <w:b/>
                <w:color w:val="002060"/>
                <w:sz w:val="17"/>
                <w:szCs w:val="17"/>
              </w:rPr>
            </w:pPr>
            <w:r w:rsidRPr="00DC2CCE">
              <w:rPr>
                <w:b/>
                <w:color w:val="002060"/>
                <w:sz w:val="17"/>
                <w:szCs w:val="17"/>
              </w:rPr>
              <w:t>Profession</w:t>
            </w:r>
          </w:p>
          <w:p w14:paraId="40CC6684" w14:textId="77777777" w:rsidR="00155EBA" w:rsidRDefault="00000000">
            <w:pPr>
              <w:pBdr>
                <w:top w:val="nil"/>
                <w:left w:val="nil"/>
                <w:bottom w:val="nil"/>
                <w:right w:val="nil"/>
                <w:between w:val="nil"/>
              </w:pBdr>
              <w:spacing w:after="40"/>
              <w:rPr>
                <w:color w:val="000000"/>
                <w:sz w:val="18"/>
                <w:szCs w:val="18"/>
              </w:rPr>
            </w:pPr>
            <w:r>
              <w:rPr>
                <w:color w:val="000000"/>
                <w:sz w:val="18"/>
                <w:szCs w:val="18"/>
              </w:rPr>
              <w:t>Contract Administrator</w:t>
            </w:r>
          </w:p>
          <w:p w14:paraId="7C85BC14"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Qualifications</w:t>
            </w:r>
          </w:p>
          <w:p w14:paraId="318D3B36" w14:textId="77777777" w:rsidR="00155EBA" w:rsidRDefault="00155EBA">
            <w:pPr>
              <w:pBdr>
                <w:top w:val="nil"/>
                <w:left w:val="nil"/>
                <w:bottom w:val="nil"/>
                <w:right w:val="nil"/>
                <w:between w:val="nil"/>
              </w:pBdr>
              <w:spacing w:after="40"/>
              <w:rPr>
                <w:color w:val="000000"/>
                <w:sz w:val="18"/>
                <w:szCs w:val="18"/>
              </w:rPr>
            </w:pPr>
          </w:p>
          <w:p w14:paraId="1225487B"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Key Skills</w:t>
            </w:r>
          </w:p>
          <w:p w14:paraId="3B5A6390" w14:textId="77777777" w:rsidR="00155EBA" w:rsidRDefault="00000000" w:rsidP="00D37D16">
            <w:pPr>
              <w:pBdr>
                <w:top w:val="nil"/>
                <w:left w:val="nil"/>
                <w:bottom w:val="nil"/>
                <w:right w:val="nil"/>
                <w:between w:val="nil"/>
              </w:pBdr>
              <w:spacing w:after="120"/>
              <w:rPr>
                <w:color w:val="000000"/>
                <w:sz w:val="17"/>
                <w:szCs w:val="17"/>
              </w:rPr>
            </w:pPr>
            <w:r>
              <w:rPr>
                <w:color w:val="000000"/>
                <w:sz w:val="17"/>
                <w:szCs w:val="17"/>
              </w:rPr>
              <w:t>• Contract Administration</w:t>
            </w:r>
            <w:r>
              <w:rPr>
                <w:color w:val="000000"/>
                <w:sz w:val="17"/>
                <w:szCs w:val="17"/>
              </w:rPr>
              <w:br/>
              <w:t>• Procurement Management</w:t>
            </w:r>
            <w:r>
              <w:rPr>
                <w:color w:val="000000"/>
                <w:sz w:val="17"/>
                <w:szCs w:val="17"/>
              </w:rPr>
              <w:br/>
              <w:t>• Cost Reporting (CVR)</w:t>
            </w:r>
            <w:r>
              <w:rPr>
                <w:color w:val="000000"/>
                <w:sz w:val="17"/>
                <w:szCs w:val="17"/>
              </w:rPr>
              <w:br/>
              <w:t>• Variation Management</w:t>
            </w:r>
            <w:r>
              <w:rPr>
                <w:color w:val="000000"/>
                <w:sz w:val="17"/>
                <w:szCs w:val="17"/>
              </w:rPr>
              <w:br/>
              <w:t>• Quantity Surveying</w:t>
            </w:r>
            <w:r>
              <w:rPr>
                <w:color w:val="000000"/>
                <w:sz w:val="17"/>
                <w:szCs w:val="17"/>
              </w:rPr>
              <w:br/>
              <w:t>• Local Government Projects</w:t>
            </w:r>
            <w:r>
              <w:rPr>
                <w:color w:val="000000"/>
                <w:sz w:val="17"/>
                <w:szCs w:val="17"/>
              </w:rPr>
              <w:br/>
              <w:t>• Aconex  Procore</w:t>
            </w:r>
            <w:r>
              <w:rPr>
                <w:color w:val="000000"/>
                <w:sz w:val="17"/>
                <w:szCs w:val="17"/>
              </w:rPr>
              <w:br/>
              <w:t>• Subcontractor Letting</w:t>
            </w:r>
            <w:r>
              <w:rPr>
                <w:color w:val="000000"/>
                <w:sz w:val="17"/>
                <w:szCs w:val="17"/>
              </w:rPr>
              <w:br/>
              <w:t>• Financial Forecasting</w:t>
            </w:r>
            <w:r>
              <w:rPr>
                <w:color w:val="000000"/>
                <w:sz w:val="17"/>
                <w:szCs w:val="17"/>
              </w:rPr>
              <w:br/>
              <w:t>• Risk Mitigation</w:t>
            </w:r>
            <w:r>
              <w:rPr>
                <w:color w:val="000000"/>
                <w:sz w:val="17"/>
                <w:szCs w:val="17"/>
              </w:rPr>
              <w:br/>
              <w:t>• Scope Gap Analysis</w:t>
            </w:r>
            <w:r>
              <w:rPr>
                <w:color w:val="000000"/>
                <w:sz w:val="17"/>
                <w:szCs w:val="17"/>
              </w:rPr>
              <w:br/>
              <w:t>• Progress Claims</w:t>
            </w:r>
          </w:p>
          <w:p w14:paraId="15AA4CBA"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References</w:t>
            </w:r>
          </w:p>
          <w:p w14:paraId="414E4500" w14:textId="77777777" w:rsidR="00155EBA" w:rsidRDefault="00000000">
            <w:pPr>
              <w:rPr>
                <w:sz w:val="17"/>
                <w:szCs w:val="17"/>
              </w:rPr>
            </w:pPr>
            <w:r>
              <w:rPr>
                <w:sz w:val="17"/>
                <w:szCs w:val="17"/>
              </w:rPr>
              <w:t>Available by request.</w:t>
            </w:r>
          </w:p>
          <w:p w14:paraId="72B9EB23" w14:textId="77777777" w:rsidR="00155EBA" w:rsidRDefault="00155EBA"/>
        </w:tc>
        <w:tc>
          <w:tcPr>
            <w:tcW w:w="7091" w:type="dxa"/>
            <w:tcBorders>
              <w:top w:val="nil"/>
              <w:left w:val="nil"/>
              <w:bottom w:val="single" w:sz="18" w:space="0" w:color="auto"/>
              <w:right w:val="nil"/>
            </w:tcBorders>
          </w:tcPr>
          <w:p w14:paraId="617E8B42" w14:textId="77777777" w:rsidR="00155EBA" w:rsidRPr="00DC2CCE" w:rsidRDefault="00000000" w:rsidP="000C1FFA">
            <w:pPr>
              <w:pBdr>
                <w:top w:val="nil"/>
                <w:left w:val="nil"/>
                <w:bottom w:val="nil"/>
                <w:right w:val="nil"/>
                <w:between w:val="nil"/>
              </w:pBdr>
              <w:shd w:val="clear" w:color="auto" w:fill="EAEAEA"/>
              <w:spacing w:after="0"/>
              <w:rPr>
                <w:color w:val="002060"/>
              </w:rPr>
            </w:pPr>
            <w:r w:rsidRPr="00DC2CCE">
              <w:rPr>
                <w:rFonts w:ascii="Arial" w:eastAsia="Arial" w:hAnsi="Arial" w:cs="Arial"/>
                <w:b/>
                <w:color w:val="002060"/>
                <w:sz w:val="24"/>
                <w:szCs w:val="24"/>
              </w:rPr>
              <w:t>Project</w:t>
            </w:r>
            <w:r w:rsidRPr="00DC2CCE">
              <w:rPr>
                <w:rFonts w:ascii="Arial" w:eastAsia="Arial" w:hAnsi="Arial" w:cs="Arial"/>
                <w:b/>
                <w:color w:val="002060"/>
              </w:rPr>
              <w:t xml:space="preserve"> </w:t>
            </w:r>
            <w:r w:rsidRPr="00DC2CCE">
              <w:rPr>
                <w:rFonts w:ascii="Arial" w:eastAsia="Arial" w:hAnsi="Arial" w:cs="Arial"/>
                <w:b/>
                <w:color w:val="002060"/>
                <w:sz w:val="24"/>
                <w:szCs w:val="24"/>
              </w:rPr>
              <w:t>Experience</w:t>
            </w:r>
          </w:p>
          <w:p w14:paraId="4EB15265" w14:textId="77777777" w:rsidR="00155EBA" w:rsidRDefault="00155EBA" w:rsidP="000C1FFA">
            <w:pPr>
              <w:pBdr>
                <w:top w:val="nil"/>
                <w:left w:val="nil"/>
                <w:bottom w:val="nil"/>
                <w:right w:val="nil"/>
                <w:between w:val="nil"/>
              </w:pBdr>
              <w:rPr>
                <w:color w:val="000000"/>
              </w:rPr>
            </w:pPr>
          </w:p>
          <w:p w14:paraId="03B2CA5B" w14:textId="77777777" w:rsidR="00155EBA" w:rsidRPr="00DC2CCE" w:rsidRDefault="00000000" w:rsidP="000C1FFA">
            <w:pPr>
              <w:pBdr>
                <w:top w:val="nil"/>
                <w:left w:val="nil"/>
                <w:bottom w:val="nil"/>
                <w:right w:val="nil"/>
                <w:between w:val="nil"/>
              </w:pBdr>
              <w:shd w:val="clear" w:color="auto" w:fill="EAEAEA"/>
              <w:spacing w:after="0"/>
              <w:rPr>
                <w:rFonts w:ascii="Arial" w:eastAsia="Arial" w:hAnsi="Arial" w:cs="Arial"/>
                <w:b/>
                <w:color w:val="002060"/>
                <w:sz w:val="24"/>
                <w:szCs w:val="24"/>
              </w:rPr>
            </w:pPr>
            <w:r w:rsidRPr="00DC2CCE">
              <w:rPr>
                <w:rFonts w:ascii="Arial" w:eastAsia="Arial" w:hAnsi="Arial" w:cs="Arial"/>
                <w:b/>
                <w:color w:val="002060"/>
                <w:sz w:val="24"/>
                <w:szCs w:val="24"/>
              </w:rPr>
              <w:t>Professional and Academic Positions Held</w:t>
            </w:r>
          </w:p>
          <w:p w14:paraId="7D09BA7B" w14:textId="77777777" w:rsidR="00155EBA" w:rsidRDefault="00000000" w:rsidP="000C1FFA">
            <w:pPr>
              <w:rPr>
                <w:color w:val="000000"/>
              </w:rPr>
            </w:pPr>
            <w:r>
              <w:t>(2024), Contract Administrator, Tier 2 Construction (NSW)</w:t>
            </w:r>
            <w:r>
              <w:br/>
              <w:t>(2021 - 2023), Contract Administrator, Commercial Build Group</w:t>
            </w:r>
            <w:r>
              <w:br/>
              <w:t>(2020), Junior Contract Administrator, Civil  Industrial Contractors</w:t>
            </w:r>
          </w:p>
          <w:p w14:paraId="7943EE13" w14:textId="77777777" w:rsidR="00155EBA" w:rsidRDefault="00155EBA" w:rsidP="000C1FFA">
            <w:pPr>
              <w:pBdr>
                <w:top w:val="nil"/>
                <w:left w:val="nil"/>
                <w:bottom w:val="nil"/>
                <w:right w:val="nil"/>
                <w:between w:val="nil"/>
              </w:pBdr>
              <w:rPr>
                <w:color w:val="000000"/>
              </w:rPr>
            </w:pPr>
          </w:p>
        </w:tc>
      </w:tr>
    </w:tbl>
    <w:p w14:paraId="3A3403A0" w14:textId="18D0DE8F" w:rsidR="009B54DE" w:rsidRDefault="009B54DE" w:rsidP="00477ADA">
      <w:pPr>
        <w:tabs>
          <w:tab w:val="left" w:pos="900"/>
        </w:tabs>
      </w:pPr>
    </w:p>
    <w:p w14:paraId="1FF6DBE2" w14:textId="77777777" w:rsidR="009B54DE" w:rsidRDefault="009B54DE">
      <w:r>
        <w:br w:type="page"/>
      </w:r>
    </w:p>
    <w:tbl>
      <w:tblPr>
        <w:tblStyle w:val="a0"/>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9"/>
        <w:gridCol w:w="7091"/>
      </w:tblGrid>
      <w:tr w:rsidR="006F5B6A" w14:paraId="2D0C745A" w14:textId="77777777" w:rsidTr="00C23B3A">
        <w:trPr>
          <w:trHeight w:val="575"/>
        </w:trPr>
        <w:tc>
          <w:tcPr>
            <w:tcW w:w="3399" w:type="dxa"/>
            <w:vMerge w:val="restart"/>
            <w:tcBorders>
              <w:top w:val="single" w:sz="18" w:space="0" w:color="auto"/>
              <w:left w:val="nil"/>
              <w:right w:val="nil"/>
            </w:tcBorders>
          </w:tcPr>
          <w:p w14:paraId="41A79D4C" w14:textId="77777777" w:rsidR="00155EBA" w:rsidRDefault="00155EBA"/>
        </w:tc>
        <w:tc>
          <w:tcPr>
            <w:tcW w:w="7091" w:type="dxa"/>
            <w:tcBorders>
              <w:top w:val="single" w:sz="18" w:space="0" w:color="auto"/>
              <w:left w:val="nil"/>
              <w:bottom w:val="nil"/>
              <w:right w:val="nil"/>
            </w:tcBorders>
          </w:tcPr>
          <w:p w14:paraId="564A31EB" w14:textId="77777777" w:rsidR="00155EBA" w:rsidRPr="00DC2CCE" w:rsidRDefault="00000000">
            <w:pPr>
              <w:pBdr>
                <w:top w:val="nil"/>
                <w:left w:val="nil"/>
                <w:bottom w:val="nil"/>
                <w:right w:val="nil"/>
                <w:between w:val="nil"/>
              </w:pBdr>
              <w:spacing w:after="0"/>
              <w:rPr>
                <w:color w:val="002060"/>
                <w:sz w:val="44"/>
                <w:szCs w:val="44"/>
              </w:rPr>
            </w:pPr>
            <w:r w:rsidRPr="00DC2CCE">
              <w:rPr>
                <w:color w:val="002060"/>
                <w:sz w:val="44"/>
                <w:szCs w:val="44"/>
              </w:rPr>
              <w:t>Sarah Jenkins</w:t>
            </w:r>
          </w:p>
          <w:p w14:paraId="7769DEE2" w14:textId="77777777" w:rsidR="00155EBA" w:rsidRPr="00DC2CCE" w:rsidRDefault="00000000">
            <w:pPr>
              <w:pBdr>
                <w:top w:val="nil"/>
                <w:left w:val="nil"/>
                <w:bottom w:val="nil"/>
                <w:right w:val="nil"/>
                <w:between w:val="nil"/>
              </w:pBdr>
              <w:spacing w:after="0"/>
              <w:rPr>
                <w:color w:val="002060"/>
                <w:sz w:val="28"/>
                <w:szCs w:val="28"/>
              </w:rPr>
            </w:pPr>
            <w:r w:rsidRPr="00DC2CCE">
              <w:rPr>
                <w:color w:val="002060"/>
                <w:sz w:val="28"/>
                <w:szCs w:val="28"/>
              </w:rPr>
              <w:t>0400 000 000</w:t>
            </w:r>
          </w:p>
          <w:p w14:paraId="33986E20" w14:textId="77777777" w:rsidR="00155EBA" w:rsidRPr="00DC2CCE" w:rsidRDefault="00000000">
            <w:pPr>
              <w:pBdr>
                <w:top w:val="nil"/>
                <w:left w:val="nil"/>
                <w:bottom w:val="nil"/>
                <w:right w:val="nil"/>
                <w:between w:val="nil"/>
              </w:pBdr>
              <w:spacing w:after="0"/>
              <w:rPr>
                <w:color w:val="002060"/>
                <w:sz w:val="28"/>
                <w:szCs w:val="28"/>
              </w:rPr>
            </w:pPr>
            <w:r w:rsidRPr="00DC2CCE">
              <w:rPr>
                <w:color w:val="002060"/>
                <w:sz w:val="28"/>
                <w:szCs w:val="28"/>
              </w:rPr>
              <w:t>sarah.jenkins@example.com</w:t>
            </w:r>
          </w:p>
          <w:p w14:paraId="79C59C5C" w14:textId="77777777" w:rsidR="00155EBA" w:rsidRDefault="00000000">
            <w:pPr>
              <w:pBdr>
                <w:top w:val="nil"/>
                <w:left w:val="nil"/>
                <w:bottom w:val="nil"/>
                <w:right w:val="nil"/>
                <w:between w:val="nil"/>
              </w:pBdr>
              <w:spacing w:after="0"/>
              <w:rPr>
                <w:color w:val="E61E28"/>
                <w:sz w:val="28"/>
                <w:szCs w:val="28"/>
              </w:rPr>
            </w:pPr>
            <w:r w:rsidRPr="00DC2CCE">
              <w:rPr>
                <w:color w:val="002060"/>
                <w:sz w:val="28"/>
                <w:szCs w:val="28"/>
              </w:rPr>
              <w:t>New South Wales, Australia</w:t>
            </w:r>
          </w:p>
        </w:tc>
      </w:tr>
      <w:tr w:rsidR="006F5B6A" w14:paraId="0AAC0810" w14:textId="77777777">
        <w:trPr>
          <w:trHeight w:val="1474"/>
        </w:trPr>
        <w:tc>
          <w:tcPr>
            <w:tcW w:w="3399" w:type="dxa"/>
            <w:vMerge/>
            <w:tcBorders>
              <w:top w:val="nil"/>
              <w:left w:val="nil"/>
              <w:right w:val="nil"/>
            </w:tcBorders>
          </w:tcPr>
          <w:p w14:paraId="51D86F25" w14:textId="77777777" w:rsidR="00155EBA" w:rsidRDefault="00155EBA">
            <w:pPr>
              <w:widowControl w:val="0"/>
              <w:pBdr>
                <w:top w:val="nil"/>
                <w:left w:val="nil"/>
                <w:bottom w:val="nil"/>
                <w:right w:val="nil"/>
                <w:between w:val="nil"/>
              </w:pBdr>
              <w:spacing w:after="0" w:line="276" w:lineRule="auto"/>
              <w:rPr>
                <w:color w:val="E61E28"/>
                <w:sz w:val="28"/>
                <w:szCs w:val="28"/>
              </w:rPr>
            </w:pPr>
          </w:p>
        </w:tc>
        <w:tc>
          <w:tcPr>
            <w:tcW w:w="7091" w:type="dxa"/>
            <w:tcBorders>
              <w:top w:val="nil"/>
              <w:left w:val="nil"/>
              <w:bottom w:val="nil"/>
              <w:right w:val="nil"/>
            </w:tcBorders>
          </w:tcPr>
          <w:p w14:paraId="772CBF19" w14:textId="77777777" w:rsidR="00155EBA" w:rsidRDefault="00000000">
            <w:pPr>
              <w:spacing w:before="160" w:after="320"/>
            </w:pPr>
            <w:r>
              <w:t>Sarah Jenkins is a Construction Director with 22 years of experience delivering high-value civic, commercial, and institutional projects. Holding a Bachelor of Construction Management and a Diploma of Architecture, she excels in bridging the gap between complex design intent and practical site delivery. Sarah possesses extensive experience working with Council clients, including the recent award-winning Riverside Library Fitout and the Bondi Pavilion Restoration. She is an expert in managing 'Operational Continuity' for live sites, ensuring minimal disruption to adjacent stakeholders. A Green Star Accredited Professional and Unrestricted Building Supervisor, Sarah brings proven leadership to the Green Valley Civic Centre Upgrade.</w:t>
            </w:r>
          </w:p>
        </w:tc>
      </w:tr>
      <w:tr w:rsidR="006F5B6A" w14:paraId="3FDCBC91" w14:textId="77777777" w:rsidTr="00C23B3A">
        <w:trPr>
          <w:trHeight w:val="3829"/>
        </w:trPr>
        <w:tc>
          <w:tcPr>
            <w:tcW w:w="3399" w:type="dxa"/>
            <w:tcBorders>
              <w:top w:val="nil"/>
              <w:left w:val="nil"/>
              <w:bottom w:val="single" w:sz="18" w:space="0" w:color="auto"/>
              <w:right w:val="nil"/>
            </w:tcBorders>
          </w:tcPr>
          <w:p w14:paraId="04BE0989" w14:textId="77777777" w:rsidR="00155EBA" w:rsidRPr="00DC2CCE" w:rsidRDefault="00000000">
            <w:pPr>
              <w:pBdr>
                <w:top w:val="nil"/>
                <w:left w:val="nil"/>
                <w:bottom w:val="nil"/>
                <w:right w:val="nil"/>
                <w:between w:val="nil"/>
              </w:pBdr>
              <w:shd w:val="clear" w:color="auto" w:fill="EAEAEA"/>
              <w:spacing w:after="80"/>
              <w:rPr>
                <w:b/>
                <w:color w:val="002060"/>
                <w:sz w:val="17"/>
                <w:szCs w:val="17"/>
              </w:rPr>
            </w:pPr>
            <w:r w:rsidRPr="00DC2CCE">
              <w:rPr>
                <w:b/>
                <w:color w:val="002060"/>
                <w:sz w:val="17"/>
                <w:szCs w:val="17"/>
              </w:rPr>
              <w:t>Profession</w:t>
            </w:r>
          </w:p>
          <w:p w14:paraId="09807755" w14:textId="77777777" w:rsidR="00155EBA" w:rsidRDefault="00000000">
            <w:pPr>
              <w:pBdr>
                <w:top w:val="nil"/>
                <w:left w:val="nil"/>
                <w:bottom w:val="nil"/>
                <w:right w:val="nil"/>
                <w:between w:val="nil"/>
              </w:pBdr>
              <w:spacing w:after="40"/>
              <w:rPr>
                <w:color w:val="000000"/>
                <w:sz w:val="18"/>
                <w:szCs w:val="18"/>
              </w:rPr>
            </w:pPr>
            <w:r>
              <w:rPr>
                <w:color w:val="000000"/>
                <w:sz w:val="18"/>
                <w:szCs w:val="18"/>
              </w:rPr>
              <w:t>Construction Director</w:t>
            </w:r>
          </w:p>
          <w:p w14:paraId="206EB1F3"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Qualifications</w:t>
            </w:r>
          </w:p>
          <w:p w14:paraId="51AD8859" w14:textId="77777777" w:rsidR="00155EBA" w:rsidRDefault="00000000">
            <w:pPr>
              <w:pBdr>
                <w:top w:val="nil"/>
                <w:left w:val="nil"/>
                <w:bottom w:val="nil"/>
                <w:right w:val="nil"/>
                <w:between w:val="nil"/>
              </w:pBdr>
              <w:spacing w:after="40"/>
              <w:rPr>
                <w:color w:val="000000"/>
                <w:sz w:val="18"/>
                <w:szCs w:val="18"/>
              </w:rPr>
            </w:pPr>
            <w:r>
              <w:rPr>
                <w:color w:val="000000"/>
                <w:sz w:val="18"/>
                <w:szCs w:val="18"/>
              </w:rPr>
              <w:t>Bachelor of Construction Management</w:t>
            </w:r>
          </w:p>
          <w:p w14:paraId="0954ACB4"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Key Skills</w:t>
            </w:r>
          </w:p>
          <w:p w14:paraId="10723E39" w14:textId="77777777" w:rsidR="00155EBA" w:rsidRDefault="00000000" w:rsidP="00D37D16">
            <w:pPr>
              <w:pBdr>
                <w:top w:val="nil"/>
                <w:left w:val="nil"/>
                <w:bottom w:val="nil"/>
                <w:right w:val="nil"/>
                <w:between w:val="nil"/>
              </w:pBdr>
              <w:spacing w:after="120"/>
              <w:rPr>
                <w:color w:val="000000"/>
                <w:sz w:val="17"/>
                <w:szCs w:val="17"/>
              </w:rPr>
            </w:pPr>
            <w:r>
              <w:rPr>
                <w:color w:val="000000"/>
                <w:sz w:val="17"/>
                <w:szCs w:val="17"/>
              </w:rPr>
              <w:t>• Design Management</w:t>
            </w:r>
            <w:r>
              <w:rPr>
                <w:color w:val="000000"/>
                <w:sz w:val="17"/>
                <w:szCs w:val="17"/>
              </w:rPr>
              <w:br/>
              <w:t>• Operational Continuity</w:t>
            </w:r>
            <w:r>
              <w:rPr>
                <w:color w:val="000000"/>
                <w:sz w:val="17"/>
                <w:szCs w:val="17"/>
              </w:rPr>
              <w:br/>
              <w:t>• Critical Path Analysis</w:t>
            </w:r>
            <w:r>
              <w:rPr>
                <w:color w:val="000000"/>
                <w:sz w:val="17"/>
                <w:szCs w:val="17"/>
              </w:rPr>
              <w:br/>
              <w:t>• Stakeholder Management</w:t>
            </w:r>
            <w:r>
              <w:rPr>
                <w:color w:val="000000"/>
                <w:sz w:val="17"/>
                <w:szCs w:val="17"/>
              </w:rPr>
              <w:br/>
              <w:t>• Civic Infrastructure</w:t>
            </w:r>
            <w:r>
              <w:rPr>
                <w:color w:val="000000"/>
                <w:sz w:val="17"/>
                <w:szCs w:val="17"/>
              </w:rPr>
              <w:br/>
              <w:t>• Live Environments</w:t>
            </w:r>
            <w:r>
              <w:rPr>
                <w:color w:val="000000"/>
                <w:sz w:val="17"/>
                <w:szCs w:val="17"/>
              </w:rPr>
              <w:br/>
              <w:t>• Contract Administration</w:t>
            </w:r>
            <w:r>
              <w:rPr>
                <w:color w:val="000000"/>
                <w:sz w:val="17"/>
                <w:szCs w:val="17"/>
              </w:rPr>
              <w:br/>
              <w:t>• Services Coordination</w:t>
            </w:r>
            <w:r>
              <w:rPr>
                <w:color w:val="000000"/>
                <w:sz w:val="17"/>
                <w:szCs w:val="17"/>
              </w:rPr>
              <w:br/>
              <w:t>• Heritage Restoration</w:t>
            </w:r>
            <w:r>
              <w:rPr>
                <w:color w:val="000000"/>
                <w:sz w:val="17"/>
                <w:szCs w:val="17"/>
              </w:rPr>
              <w:br/>
              <w:t>• WHS Management</w:t>
            </w:r>
            <w:r>
              <w:rPr>
                <w:color w:val="000000"/>
                <w:sz w:val="17"/>
                <w:szCs w:val="17"/>
              </w:rPr>
              <w:br/>
              <w:t>• Quality Assurance</w:t>
            </w:r>
            <w:r>
              <w:rPr>
                <w:color w:val="000000"/>
                <w:sz w:val="17"/>
                <w:szCs w:val="17"/>
              </w:rPr>
              <w:br/>
              <w:t>• Subcontractor Procurement</w:t>
            </w:r>
            <w:r>
              <w:rPr>
                <w:color w:val="000000"/>
                <w:sz w:val="17"/>
                <w:szCs w:val="17"/>
              </w:rPr>
              <w:br/>
              <w:t>• Cost Control</w:t>
            </w:r>
            <w:r>
              <w:rPr>
                <w:color w:val="000000"/>
                <w:sz w:val="17"/>
                <w:szCs w:val="17"/>
              </w:rPr>
              <w:br/>
              <w:t>• Defect Minimization</w:t>
            </w:r>
            <w:r>
              <w:rPr>
                <w:color w:val="000000"/>
                <w:sz w:val="17"/>
                <w:szCs w:val="17"/>
              </w:rPr>
              <w:br/>
              <w:t>• Green Star Reporting</w:t>
            </w:r>
          </w:p>
          <w:p w14:paraId="09C9D977" w14:textId="77777777" w:rsidR="00155EBA" w:rsidRPr="00DC2CCE" w:rsidRDefault="00000000">
            <w:pPr>
              <w:pBdr>
                <w:top w:val="nil"/>
                <w:left w:val="nil"/>
                <w:bottom w:val="nil"/>
                <w:right w:val="nil"/>
                <w:between w:val="nil"/>
              </w:pBdr>
              <w:shd w:val="clear" w:color="auto" w:fill="EAEAEA"/>
              <w:spacing w:before="120" w:after="80"/>
              <w:rPr>
                <w:b/>
                <w:color w:val="002060"/>
                <w:sz w:val="17"/>
                <w:szCs w:val="17"/>
              </w:rPr>
            </w:pPr>
            <w:r w:rsidRPr="00DC2CCE">
              <w:rPr>
                <w:b/>
                <w:color w:val="002060"/>
                <w:sz w:val="17"/>
                <w:szCs w:val="17"/>
              </w:rPr>
              <w:t>References</w:t>
            </w:r>
          </w:p>
          <w:p w14:paraId="1FA86C05" w14:textId="77777777" w:rsidR="00155EBA" w:rsidRDefault="00000000">
            <w:pPr>
              <w:rPr>
                <w:sz w:val="17"/>
                <w:szCs w:val="17"/>
              </w:rPr>
            </w:pPr>
            <w:r>
              <w:rPr>
                <w:sz w:val="17"/>
                <w:szCs w:val="17"/>
              </w:rPr>
              <w:t>Available by request.</w:t>
            </w:r>
          </w:p>
          <w:p w14:paraId="1B44C1BA" w14:textId="77777777" w:rsidR="00155EBA" w:rsidRDefault="00155EBA"/>
        </w:tc>
        <w:tc>
          <w:tcPr>
            <w:tcW w:w="7091" w:type="dxa"/>
            <w:tcBorders>
              <w:top w:val="nil"/>
              <w:left w:val="nil"/>
              <w:bottom w:val="single" w:sz="18" w:space="0" w:color="auto"/>
              <w:right w:val="nil"/>
            </w:tcBorders>
          </w:tcPr>
          <w:p w14:paraId="37C8C21B" w14:textId="77777777" w:rsidR="00155EBA" w:rsidRPr="00DC2CCE" w:rsidRDefault="00000000" w:rsidP="000C1FFA">
            <w:pPr>
              <w:pBdr>
                <w:top w:val="nil"/>
                <w:left w:val="nil"/>
                <w:bottom w:val="nil"/>
                <w:right w:val="nil"/>
                <w:between w:val="nil"/>
              </w:pBdr>
              <w:shd w:val="clear" w:color="auto" w:fill="EAEAEA"/>
              <w:spacing w:after="0"/>
              <w:rPr>
                <w:color w:val="002060"/>
              </w:rPr>
            </w:pPr>
            <w:r w:rsidRPr="00DC2CCE">
              <w:rPr>
                <w:rFonts w:ascii="Arial" w:eastAsia="Arial" w:hAnsi="Arial" w:cs="Arial"/>
                <w:b/>
                <w:color w:val="002060"/>
                <w:sz w:val="24"/>
                <w:szCs w:val="24"/>
              </w:rPr>
              <w:t>Project</w:t>
            </w:r>
            <w:r w:rsidRPr="00DC2CCE">
              <w:rPr>
                <w:rFonts w:ascii="Arial" w:eastAsia="Arial" w:hAnsi="Arial" w:cs="Arial"/>
                <w:b/>
                <w:color w:val="002060"/>
              </w:rPr>
              <w:t xml:space="preserve"> </w:t>
            </w:r>
            <w:r w:rsidRPr="00DC2CCE">
              <w:rPr>
                <w:rFonts w:ascii="Arial" w:eastAsia="Arial" w:hAnsi="Arial" w:cs="Arial"/>
                <w:b/>
                <w:color w:val="002060"/>
                <w:sz w:val="24"/>
                <w:szCs w:val="24"/>
              </w:rPr>
              <w:t>Experience</w:t>
            </w:r>
          </w:p>
          <w:p w14:paraId="2BCB4EDE" w14:textId="1E6C4AD0" w:rsidR="00155EBA" w:rsidRDefault="00000000" w:rsidP="000C1FFA">
            <w:pPr>
              <w:pBdr>
                <w:top w:val="nil"/>
                <w:left w:val="nil"/>
                <w:bottom w:val="nil"/>
                <w:right w:val="nil"/>
                <w:between w:val="nil"/>
              </w:pBdr>
              <w:rPr>
                <w:color w:val="000000"/>
              </w:rPr>
            </w:pPr>
            <w:r>
              <w:rPr>
                <w:color w:val="000000"/>
              </w:rPr>
              <w:t xml:space="preserve">Riverside Library </w:t>
            </w:r>
            <w:proofErr w:type="spellStart"/>
            <w:r>
              <w:rPr>
                <w:color w:val="000000"/>
              </w:rPr>
              <w:t>Fitout</w:t>
            </w:r>
            <w:proofErr w:type="spellEnd"/>
            <w:r>
              <w:rPr>
                <w:color w:val="000000"/>
              </w:rPr>
              <w:br/>
              <w:t xml:space="preserve">Relevance to RFT: This project is highly relevant to the Green Valley Civic Centre Upgrade due to its specific focus on 'Operational Continuity' in a live civic environment. As Construction Manager, I delivered this $4.2M fitout for a Council client, managing high-end architectural joinery and acoustic treatments directly comparable to the proposed Main Hall and Community Hub specifications. </w:t>
            </w:r>
            <w:r>
              <w:rPr>
                <w:color w:val="000000"/>
              </w:rPr>
              <w:br/>
            </w:r>
            <w:r>
              <w:rPr>
                <w:color w:val="000000"/>
              </w:rPr>
              <w:br/>
              <w:t>The project involved strict noise control protocols similar to those required for the adjacent library at Green Valley. I implemented a 'silent works' schedule for high-impact activities, ensuring zero complaints from the operational library staff. The scope included complex internal linings and services integration, mirroring the requirements for the acoustic timber paneling and VRF air conditioning installation at Green Valley. The project won the 2024 MBA Excellence Award, demonstrating my commitment to the high-quality finish required for public-facing civic infrastructure.</w:t>
            </w:r>
            <w:r>
              <w:rPr>
                <w:color w:val="000000"/>
              </w:rPr>
              <w:br/>
            </w:r>
            <w:r>
              <w:rPr>
                <w:color w:val="000000"/>
              </w:rPr>
              <w:br/>
              <w:t>Highland Medical Centre Redevelopment</w:t>
            </w:r>
            <w:r>
              <w:rPr>
                <w:color w:val="000000"/>
              </w:rPr>
              <w:br/>
              <w:t xml:space="preserve">Relevance to RFT: Valued at $6.8M, this project exceeds the $5M experience threshold required by Green Valley Regional Council and demonstrates my capacity to deliver complex technical scopes ahead of schedule. As Project Director, I managed the redevelopment of a live medical facility, which shares the critical 'live environment' constraints of the Civic Centre upgrade. </w:t>
            </w:r>
            <w:r>
              <w:rPr>
                <w:color w:val="000000"/>
              </w:rPr>
              <w:br/>
            </w:r>
            <w:r>
              <w:rPr>
                <w:color w:val="000000"/>
              </w:rPr>
              <w:br/>
              <w:t>The scope included the demolition of internal structures and the removal of hazardous materials, directly relevant to the demolition of the North Wing annex and ACM removal at Green Valley. Furthermore, the installation of radiation shielding and specialized medical services demonstrates the technical rigor I bring to complex services coordination, ensuring the successful integration of the new 400A Main Switchboard, DALI lighting control, and mechanical extraction systems specified in the Green Valley Scope of Works. My team delivered this project 3 weeks early, proving our ability to manage the critical path effectively.</w:t>
            </w:r>
            <w:r>
              <w:rPr>
                <w:color w:val="000000"/>
              </w:rPr>
              <w:br/>
            </w:r>
            <w:r>
              <w:rPr>
                <w:color w:val="000000"/>
              </w:rPr>
              <w:br/>
              <w:t>Bondi Pavilion Restoration</w:t>
            </w:r>
            <w:r>
              <w:rPr>
                <w:color w:val="000000"/>
              </w:rPr>
              <w:br/>
              <w:t xml:space="preserve">Relevance to RFT: This $18M restoration project demonstrates extensive experience in working with Council stakeholders and managing heritage constraints, relevant to the protection of the 'Old Oak' and the general sensitivity of the Green Valley site. As Site Manager, I oversaw the logistics for a high-traffic public precinct, managing heavy vehicle movements and hoarding lines to ensure public safety—skills that are critical for managing the School Zone restrictions on School Lane. </w:t>
            </w:r>
            <w:r>
              <w:rPr>
                <w:color w:val="000000"/>
              </w:rPr>
              <w:br/>
            </w:r>
            <w:r>
              <w:rPr>
                <w:color w:val="000000"/>
              </w:rPr>
              <w:lastRenderedPageBreak/>
              <w:br/>
              <w:t>The project involved significant structural remediation and the integration of modern community amenities into an existing fabric. This experience ensures I am well-equipped to manage the structural steel portal frame extension and the interface between the existing Civic Centre and the new Community Hub. The successful delivery of this iconic pavilion underscores my capability to handle high-profile community assets with the necessary care and political acumen required by Regional Councils.</w:t>
            </w:r>
          </w:p>
          <w:p w14:paraId="319D51F2" w14:textId="77777777" w:rsidR="00155EBA" w:rsidRPr="00DC2CCE" w:rsidRDefault="00000000" w:rsidP="000C1FFA">
            <w:pPr>
              <w:pBdr>
                <w:top w:val="nil"/>
                <w:left w:val="nil"/>
                <w:bottom w:val="nil"/>
                <w:right w:val="nil"/>
                <w:between w:val="nil"/>
              </w:pBdr>
              <w:shd w:val="clear" w:color="auto" w:fill="EAEAEA"/>
              <w:spacing w:after="0"/>
              <w:rPr>
                <w:rFonts w:ascii="Arial" w:eastAsia="Arial" w:hAnsi="Arial" w:cs="Arial"/>
                <w:b/>
                <w:color w:val="002060"/>
                <w:sz w:val="24"/>
                <w:szCs w:val="24"/>
              </w:rPr>
            </w:pPr>
            <w:r w:rsidRPr="00DC2CCE">
              <w:rPr>
                <w:rFonts w:ascii="Arial" w:eastAsia="Arial" w:hAnsi="Arial" w:cs="Arial"/>
                <w:b/>
                <w:color w:val="002060"/>
                <w:sz w:val="24"/>
                <w:szCs w:val="24"/>
              </w:rPr>
              <w:t>Professional and Academic Positions Held</w:t>
            </w:r>
          </w:p>
          <w:p w14:paraId="7B5D8CB3" w14:textId="77777777" w:rsidR="00155EBA" w:rsidRDefault="00000000" w:rsidP="000C1FFA">
            <w:pPr>
              <w:rPr>
                <w:color w:val="000000"/>
              </w:rPr>
            </w:pPr>
            <w:r>
              <w:t>(2018 - 2021), Senior Project Manager, BuildCorp Solutions</w:t>
            </w:r>
            <w:r>
              <w:br/>
              <w:t>(2016 - 2017), Project Manager, Metro Civil  Build</w:t>
            </w:r>
            <w:r>
              <w:br/>
              <w:t>(2014 - 2015), Site Manager, Heritage Constructions NSW</w:t>
            </w:r>
          </w:p>
          <w:p w14:paraId="4EEB9C6C" w14:textId="77777777" w:rsidR="00155EBA" w:rsidRDefault="00155EBA" w:rsidP="000C1FFA">
            <w:pPr>
              <w:pBdr>
                <w:top w:val="nil"/>
                <w:left w:val="nil"/>
                <w:bottom w:val="nil"/>
                <w:right w:val="nil"/>
                <w:between w:val="nil"/>
              </w:pBdr>
              <w:rPr>
                <w:color w:val="000000"/>
              </w:rPr>
            </w:pPr>
          </w:p>
        </w:tc>
      </w:tr>
    </w:tbl>
    <w:p w14:paraId="123ADEA5" w14:textId="23E6AAAA" w:rsidR="009B54DE" w:rsidRDefault="009B54DE" w:rsidP="00477ADA">
      <w:pPr>
        <w:tabs>
          <w:tab w:val="left" w:pos="900"/>
        </w:tabs>
      </w:pPr>
    </w:p>
    <w:p w14:paraId="632DF7A0" w14:textId="77777777" w:rsidR="009B54DE" w:rsidRDefault="009B54DE">
      <w:r>
        <w:br w:type="page"/>
      </w:r>
    </w:p>
    <w:p w14:paraId="7B812147" w14:textId="77777777" w:rsidR="00155EBA" w:rsidRPr="0099527E" w:rsidRDefault="00155EBA" w:rsidP="00477ADA">
      <w:pPr>
        <w:tabs>
          <w:tab w:val="left" w:pos="900"/>
        </w:tabs>
      </w:pPr>
    </w:p>
    <w:p w14:paraId="777C1CDB" w14:textId="77777777" w:rsidR="00155EBA" w:rsidRDefault="00155EBA">
      <w:pPr>
        <w:widowControl w:val="0"/>
        <w:pBdr>
          <w:top w:val="nil"/>
          <w:left w:val="nil"/>
          <w:bottom w:val="nil"/>
          <w:right w:val="nil"/>
          <w:between w:val="nil"/>
        </w:pBdr>
        <w:spacing w:after="0" w:line="276" w:lineRule="auto"/>
        <w:rPr>
          <w:rFonts w:ascii="Arial" w:eastAsia="Arial" w:hAnsi="Arial" w:cs="Arial"/>
          <w:color w:val="000000"/>
        </w:rPr>
      </w:pPr>
    </w:p>
    <w:p w14:paraId="26F6FF43" w14:textId="77777777" w:rsidR="00062712" w:rsidRDefault="00966E59" w:rsidP="00966E59">
      <w:pPr>
        <w:pStyle w:val="Appendix"/>
      </w:pPr>
      <w:bookmarkStart w:id="94" w:name="_Toc218961958"/>
      <w:bookmarkEnd w:id="93"/>
      <w:r w:rsidRPr="0086136A">
        <w:t>Appendix B | Insurance Certificates</w:t>
      </w:r>
      <w:bookmarkEnd w:id="94"/>
    </w:p>
    <w:p w14:paraId="6CAB7831" w14:textId="77777777" w:rsidR="006530BE" w:rsidRPr="004D5AB8" w:rsidRDefault="006530BE" w:rsidP="00964C5A">
      <w:pPr>
        <w:rPr>
          <w:rFonts w:eastAsiaTheme="majorEastAsia" w:cstheme="majorBidi"/>
          <w:color w:val="000000" w:themeColor="text1"/>
          <w:sz w:val="28"/>
          <w:szCs w:val="32"/>
        </w:rPr>
      </w:pPr>
    </w:p>
    <w:sectPr w:rsidR="006530BE" w:rsidRPr="004D5AB8" w:rsidSect="007743C1">
      <w:pgSz w:w="11906" w:h="16838"/>
      <w:pgMar w:top="1361" w:right="964" w:bottom="1134" w:left="96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AE2B" w14:textId="77777777" w:rsidR="00242A71" w:rsidRDefault="00242A71" w:rsidP="00141C8F">
      <w:pPr>
        <w:spacing w:after="0" w:line="240" w:lineRule="auto"/>
      </w:pPr>
      <w:r>
        <w:separator/>
      </w:r>
    </w:p>
  </w:endnote>
  <w:endnote w:type="continuationSeparator" w:id="0">
    <w:p w14:paraId="733EAB4D" w14:textId="77777777" w:rsidR="00242A71" w:rsidRDefault="00242A71" w:rsidP="0014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roy SemiBold">
    <w:panose1 w:val="00000700000000000000"/>
    <w:charset w:val="00"/>
    <w:family w:val="modern"/>
    <w:notTrueType/>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F42C" w14:textId="77777777" w:rsidR="000E6F08" w:rsidRPr="00373DDD" w:rsidRDefault="002E102B" w:rsidP="00373DDD">
    <w:pPr>
      <w:pStyle w:val="Footer"/>
      <w:spacing w:before="120"/>
      <w:rPr>
        <w:sz w:val="16"/>
        <w:szCs w:val="16"/>
      </w:rPr>
    </w:pPr>
    <w:r>
      <w:rPr>
        <w:sz w:val="16"/>
        <w:szCs w:val="16"/>
      </w:rPr>
      <w:t>APEX HORIZON CONSTRUCTIONS</w:t>
    </w:r>
    <w:r w:rsidR="00373DDD" w:rsidRPr="00373DDD">
      <w:rPr>
        <w:sz w:val="16"/>
        <w:szCs w:val="16"/>
      </w:rPr>
      <w:t xml:space="preserve"> Proposal |  | </w:t>
    </w:r>
    <w:r w:rsidR="00373DDD" w:rsidRPr="00373DDD">
      <w:rPr>
        <w:sz w:val="16"/>
        <w:szCs w:val="16"/>
        <w:highlight w:val="yellow"/>
      </w:rPr>
      <w:t>[BRIEF TITLE]</w:t>
    </w:r>
    <w:r w:rsidR="00373DDD" w:rsidRPr="00373DDD">
      <w:rPr>
        <w:sz w:val="16"/>
        <w:szCs w:val="16"/>
      </w:rPr>
      <w:tab/>
    </w:r>
    <w:r w:rsidR="00373DDD" w:rsidRPr="00373DDD">
      <w:rPr>
        <w:sz w:val="16"/>
        <w:szCs w:val="16"/>
      </w:rPr>
      <w:tab/>
    </w:r>
    <w:r w:rsidR="00373DDD" w:rsidRPr="00373DDD">
      <w:rPr>
        <w:sz w:val="16"/>
        <w:szCs w:val="16"/>
      </w:rPr>
      <w:tab/>
    </w:r>
    <w:r w:rsidR="00373DDD" w:rsidRPr="00373DDD">
      <w:rPr>
        <w:sz w:val="16"/>
        <w:szCs w:val="16"/>
      </w:rPr>
      <w:fldChar w:fldCharType="begin"/>
    </w:r>
    <w:r w:rsidR="00373DDD" w:rsidRPr="00373DDD">
      <w:rPr>
        <w:sz w:val="16"/>
        <w:szCs w:val="16"/>
      </w:rPr>
      <w:instrText xml:space="preserve"> PAGE  \* roman  \* MERGEFORMAT </w:instrText>
    </w:r>
    <w:r w:rsidR="00373DDD" w:rsidRPr="00373DDD">
      <w:rPr>
        <w:sz w:val="16"/>
        <w:szCs w:val="16"/>
      </w:rPr>
      <w:fldChar w:fldCharType="separate"/>
    </w:r>
    <w:r w:rsidR="00373DDD" w:rsidRPr="00373DDD">
      <w:rPr>
        <w:sz w:val="16"/>
        <w:szCs w:val="16"/>
      </w:rPr>
      <w:t>ii</w:t>
    </w:r>
    <w:r w:rsidR="00373DDD" w:rsidRPr="00373DDD">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6232" w14:textId="77777777" w:rsidR="00C76849" w:rsidRPr="00373DDD" w:rsidRDefault="007C0199" w:rsidP="00373DDD">
    <w:pPr>
      <w:pStyle w:val="Footer"/>
      <w:spacing w:before="120"/>
      <w:rPr>
        <w:sz w:val="16"/>
        <w:szCs w:val="16"/>
      </w:rPr>
    </w:pPr>
    <w:r>
      <w:rPr>
        <w:sz w:val="16"/>
        <w:szCs w:val="16"/>
      </w:rPr>
      <w:t>APEX HORIZON CONSTRUCTIONS</w:t>
    </w:r>
    <w:r w:rsidR="00C76849" w:rsidRPr="00373DDD">
      <w:rPr>
        <w:sz w:val="16"/>
        <w:szCs w:val="16"/>
      </w:rPr>
      <w:t xml:space="preserve"> Proposal |  | </w:t>
    </w:r>
    <w:r w:rsidR="00C76849" w:rsidRPr="00373DDD">
      <w:rPr>
        <w:sz w:val="16"/>
        <w:szCs w:val="16"/>
        <w:highlight w:val="yellow"/>
      </w:rPr>
      <w:t>[BRIEF TITLE]</w:t>
    </w:r>
    <w:r w:rsidR="00C76849" w:rsidRPr="00373DDD">
      <w:rPr>
        <w:sz w:val="16"/>
        <w:szCs w:val="16"/>
      </w:rPr>
      <w:br/>
    </w:r>
    <w:r w:rsidR="00C76849" w:rsidRPr="00373DDD">
      <w:rPr>
        <w:sz w:val="16"/>
        <w:szCs w:val="16"/>
        <w:highlight w:val="yellow"/>
      </w:rPr>
      <w:t>[REFERENCE]</w:t>
    </w:r>
    <w:r w:rsidR="00C76849" w:rsidRPr="00373DDD">
      <w:rPr>
        <w:sz w:val="16"/>
        <w:szCs w:val="16"/>
      </w:rPr>
      <w:t xml:space="preserve"> | </w:t>
    </w:r>
    <w:r w:rsidR="00C76849" w:rsidRPr="00373DDD">
      <w:rPr>
        <w:sz w:val="16"/>
        <w:szCs w:val="16"/>
        <w:highlight w:val="yellow"/>
      </w:rPr>
      <w:t>[DATE]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2872" w14:textId="0E3FE21C" w:rsidR="009E5D41" w:rsidRPr="00373DDD" w:rsidRDefault="00E275CB" w:rsidP="00373DDD">
    <w:pPr>
      <w:pStyle w:val="Footer"/>
      <w:spacing w:before="120"/>
      <w:rPr>
        <w:sz w:val="16"/>
        <w:szCs w:val="16"/>
      </w:rPr>
    </w:pPr>
    <w:r>
      <w:rPr>
        <w:sz w:val="16"/>
        <w:szCs w:val="16"/>
      </w:rPr>
      <w:t>APEX HORIZON CONSTRUCTIONS</w:t>
    </w:r>
    <w:r w:rsidR="009E5D41" w:rsidRPr="00373DDD">
      <w:rPr>
        <w:sz w:val="16"/>
        <w:szCs w:val="16"/>
      </w:rPr>
      <w:t xml:space="preserve"> Proposal</w:t>
    </w:r>
    <w:r w:rsidR="00373DDD" w:rsidRPr="00373DDD">
      <w:rPr>
        <w:sz w:val="16"/>
        <w:szCs w:val="16"/>
      </w:rPr>
      <w:tab/>
    </w:r>
    <w:r w:rsidR="00373DDD" w:rsidRPr="00373DDD">
      <w:rPr>
        <w:sz w:val="16"/>
        <w:szCs w:val="16"/>
      </w:rPr>
      <w:tab/>
    </w:r>
    <w:r w:rsidR="00373DDD" w:rsidRPr="00373DDD">
      <w:rPr>
        <w:sz w:val="16"/>
        <w:szCs w:val="16"/>
      </w:rPr>
      <w:tab/>
    </w:r>
    <w:r w:rsidR="00373DDD" w:rsidRPr="00373DDD">
      <w:rPr>
        <w:sz w:val="16"/>
        <w:szCs w:val="16"/>
      </w:rPr>
      <w:fldChar w:fldCharType="begin"/>
    </w:r>
    <w:r w:rsidR="00373DDD" w:rsidRPr="00373DDD">
      <w:rPr>
        <w:sz w:val="16"/>
        <w:szCs w:val="16"/>
      </w:rPr>
      <w:instrText xml:space="preserve"> PAGE  \* Arabic  \* MERGEFORMAT </w:instrText>
    </w:r>
    <w:r w:rsidR="00373DDD" w:rsidRPr="00373DDD">
      <w:rPr>
        <w:sz w:val="16"/>
        <w:szCs w:val="16"/>
      </w:rPr>
      <w:fldChar w:fldCharType="separate"/>
    </w:r>
    <w:r w:rsidR="00373DDD" w:rsidRPr="00373DDD">
      <w:rPr>
        <w:noProof/>
        <w:sz w:val="16"/>
        <w:szCs w:val="16"/>
      </w:rPr>
      <w:t>1</w:t>
    </w:r>
    <w:r w:rsidR="00373DDD" w:rsidRPr="00373DD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5AAA" w14:textId="77777777" w:rsidR="00242A71" w:rsidRDefault="00242A71" w:rsidP="00141C8F">
      <w:pPr>
        <w:spacing w:after="0" w:line="240" w:lineRule="auto"/>
      </w:pPr>
      <w:r>
        <w:separator/>
      </w:r>
    </w:p>
  </w:footnote>
  <w:footnote w:type="continuationSeparator" w:id="0">
    <w:p w14:paraId="4B2E7129" w14:textId="77777777" w:rsidR="00242A71" w:rsidRDefault="00242A71" w:rsidP="0014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9145" w14:textId="77777777" w:rsidR="00686518" w:rsidRDefault="00686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1C59"/>
    <w:multiLevelType w:val="multilevel"/>
    <w:tmpl w:val="798C688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9A60AD"/>
    <w:multiLevelType w:val="multilevel"/>
    <w:tmpl w:val="980C9EE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3B4E6029"/>
    <w:multiLevelType w:val="multilevel"/>
    <w:tmpl w:val="63D2DCA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07246167">
    <w:abstractNumId w:val="0"/>
  </w:num>
  <w:num w:numId="2" w16cid:durableId="1902056517">
    <w:abstractNumId w:val="0"/>
  </w:num>
  <w:num w:numId="3" w16cid:durableId="1559708812">
    <w:abstractNumId w:val="0"/>
  </w:num>
  <w:num w:numId="4" w16cid:durableId="274672812">
    <w:abstractNumId w:val="0"/>
  </w:num>
  <w:num w:numId="5" w16cid:durableId="1296135675">
    <w:abstractNumId w:val="0"/>
  </w:num>
  <w:num w:numId="6" w16cid:durableId="1397432141">
    <w:abstractNumId w:val="0"/>
  </w:num>
  <w:num w:numId="7" w16cid:durableId="1375543006">
    <w:abstractNumId w:val="0"/>
  </w:num>
  <w:num w:numId="8" w16cid:durableId="70008686">
    <w:abstractNumId w:val="0"/>
  </w:num>
  <w:num w:numId="9" w16cid:durableId="1827474791">
    <w:abstractNumId w:val="0"/>
  </w:num>
  <w:num w:numId="10" w16cid:durableId="1780295887">
    <w:abstractNumId w:val="0"/>
  </w:num>
  <w:num w:numId="11" w16cid:durableId="1125655848">
    <w:abstractNumId w:val="0"/>
  </w:num>
  <w:num w:numId="12" w16cid:durableId="512843129">
    <w:abstractNumId w:val="0"/>
  </w:num>
  <w:num w:numId="13" w16cid:durableId="1631476334">
    <w:abstractNumId w:val="0"/>
  </w:num>
  <w:num w:numId="14" w16cid:durableId="1958415454">
    <w:abstractNumId w:val="0"/>
  </w:num>
  <w:num w:numId="15" w16cid:durableId="1920553421">
    <w:abstractNumId w:val="0"/>
  </w:num>
  <w:num w:numId="16" w16cid:durableId="1740440900">
    <w:abstractNumId w:val="0"/>
  </w:num>
  <w:num w:numId="17" w16cid:durableId="406341526">
    <w:abstractNumId w:val="0"/>
  </w:num>
  <w:num w:numId="18" w16cid:durableId="1084763896">
    <w:abstractNumId w:val="0"/>
  </w:num>
  <w:num w:numId="19" w16cid:durableId="1298727975">
    <w:abstractNumId w:val="0"/>
  </w:num>
  <w:num w:numId="20" w16cid:durableId="691536784">
    <w:abstractNumId w:val="0"/>
  </w:num>
  <w:num w:numId="21" w16cid:durableId="234363073">
    <w:abstractNumId w:val="0"/>
  </w:num>
  <w:num w:numId="22" w16cid:durableId="979502509">
    <w:abstractNumId w:val="0"/>
  </w:num>
  <w:num w:numId="23" w16cid:durableId="1851483792">
    <w:abstractNumId w:val="0"/>
  </w:num>
  <w:num w:numId="24" w16cid:durableId="918952759">
    <w:abstractNumId w:val="0"/>
  </w:num>
  <w:num w:numId="25" w16cid:durableId="985161252">
    <w:abstractNumId w:val="0"/>
  </w:num>
  <w:num w:numId="26" w16cid:durableId="1686667024">
    <w:abstractNumId w:val="0"/>
  </w:num>
  <w:num w:numId="27" w16cid:durableId="1734621604">
    <w:abstractNumId w:val="0"/>
  </w:num>
  <w:num w:numId="28" w16cid:durableId="1819882690">
    <w:abstractNumId w:val="0"/>
  </w:num>
  <w:num w:numId="29" w16cid:durableId="306011721">
    <w:abstractNumId w:val="0"/>
  </w:num>
  <w:num w:numId="30" w16cid:durableId="1321497706">
    <w:abstractNumId w:val="1"/>
  </w:num>
  <w:num w:numId="31" w16cid:durableId="676730789">
    <w:abstractNumId w:val="1"/>
  </w:num>
  <w:num w:numId="32" w16cid:durableId="1219241916">
    <w:abstractNumId w:val="1"/>
  </w:num>
  <w:num w:numId="33" w16cid:durableId="1897425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8F"/>
    <w:rsid w:val="0000060A"/>
    <w:rsid w:val="00034380"/>
    <w:rsid w:val="000516E8"/>
    <w:rsid w:val="00062712"/>
    <w:rsid w:val="000A39F1"/>
    <w:rsid w:val="000C4FE5"/>
    <w:rsid w:val="000D389A"/>
    <w:rsid w:val="000E6F08"/>
    <w:rsid w:val="000E73CC"/>
    <w:rsid w:val="00104E52"/>
    <w:rsid w:val="0011673B"/>
    <w:rsid w:val="001217D2"/>
    <w:rsid w:val="00126428"/>
    <w:rsid w:val="00141C8F"/>
    <w:rsid w:val="0015242F"/>
    <w:rsid w:val="00155EBA"/>
    <w:rsid w:val="001A3FA9"/>
    <w:rsid w:val="001A7FFB"/>
    <w:rsid w:val="001D0178"/>
    <w:rsid w:val="001D06D3"/>
    <w:rsid w:val="00205A35"/>
    <w:rsid w:val="0020687C"/>
    <w:rsid w:val="00210739"/>
    <w:rsid w:val="00220828"/>
    <w:rsid w:val="00236B4A"/>
    <w:rsid w:val="00237838"/>
    <w:rsid w:val="00242A71"/>
    <w:rsid w:val="002456A2"/>
    <w:rsid w:val="002733AF"/>
    <w:rsid w:val="0029487E"/>
    <w:rsid w:val="002A4C9F"/>
    <w:rsid w:val="002E102B"/>
    <w:rsid w:val="00332C25"/>
    <w:rsid w:val="00337932"/>
    <w:rsid w:val="00367B8F"/>
    <w:rsid w:val="0037312F"/>
    <w:rsid w:val="00373DDD"/>
    <w:rsid w:val="00385B02"/>
    <w:rsid w:val="0038743E"/>
    <w:rsid w:val="00393965"/>
    <w:rsid w:val="003968B9"/>
    <w:rsid w:val="003A3DCA"/>
    <w:rsid w:val="003D0E5A"/>
    <w:rsid w:val="003F539A"/>
    <w:rsid w:val="003F5442"/>
    <w:rsid w:val="00400097"/>
    <w:rsid w:val="00411BB6"/>
    <w:rsid w:val="00413963"/>
    <w:rsid w:val="00421123"/>
    <w:rsid w:val="00421FA2"/>
    <w:rsid w:val="00483976"/>
    <w:rsid w:val="004A0897"/>
    <w:rsid w:val="004B7E61"/>
    <w:rsid w:val="004C5C24"/>
    <w:rsid w:val="004D5AB8"/>
    <w:rsid w:val="004E2837"/>
    <w:rsid w:val="004E6691"/>
    <w:rsid w:val="004F1DD9"/>
    <w:rsid w:val="0051474F"/>
    <w:rsid w:val="00527BCB"/>
    <w:rsid w:val="0053010D"/>
    <w:rsid w:val="00575716"/>
    <w:rsid w:val="00582454"/>
    <w:rsid w:val="00592573"/>
    <w:rsid w:val="005B6385"/>
    <w:rsid w:val="005D5869"/>
    <w:rsid w:val="005E1F9C"/>
    <w:rsid w:val="005E35E3"/>
    <w:rsid w:val="005E3A00"/>
    <w:rsid w:val="005E7FD8"/>
    <w:rsid w:val="005F5BA8"/>
    <w:rsid w:val="00643323"/>
    <w:rsid w:val="00647C67"/>
    <w:rsid w:val="00652A88"/>
    <w:rsid w:val="006530BE"/>
    <w:rsid w:val="006628E0"/>
    <w:rsid w:val="00664CEF"/>
    <w:rsid w:val="006804E9"/>
    <w:rsid w:val="00686518"/>
    <w:rsid w:val="006A0F71"/>
    <w:rsid w:val="006B0EE2"/>
    <w:rsid w:val="006B1163"/>
    <w:rsid w:val="006B1EF4"/>
    <w:rsid w:val="006D0756"/>
    <w:rsid w:val="006D35F2"/>
    <w:rsid w:val="006E258F"/>
    <w:rsid w:val="006F4074"/>
    <w:rsid w:val="006F51DF"/>
    <w:rsid w:val="007107E1"/>
    <w:rsid w:val="00723F20"/>
    <w:rsid w:val="007254FC"/>
    <w:rsid w:val="00730272"/>
    <w:rsid w:val="00732B8D"/>
    <w:rsid w:val="007400D9"/>
    <w:rsid w:val="00741269"/>
    <w:rsid w:val="00741F05"/>
    <w:rsid w:val="00743135"/>
    <w:rsid w:val="00753DA8"/>
    <w:rsid w:val="007743C1"/>
    <w:rsid w:val="00775C9B"/>
    <w:rsid w:val="00776D3C"/>
    <w:rsid w:val="007A63AB"/>
    <w:rsid w:val="007B10F0"/>
    <w:rsid w:val="007B2A80"/>
    <w:rsid w:val="007C0199"/>
    <w:rsid w:val="007E52F7"/>
    <w:rsid w:val="007E6630"/>
    <w:rsid w:val="007F0532"/>
    <w:rsid w:val="00830FE7"/>
    <w:rsid w:val="00837C2F"/>
    <w:rsid w:val="00841BB5"/>
    <w:rsid w:val="0084298D"/>
    <w:rsid w:val="0086067A"/>
    <w:rsid w:val="0086136A"/>
    <w:rsid w:val="008640AB"/>
    <w:rsid w:val="008713C8"/>
    <w:rsid w:val="00873412"/>
    <w:rsid w:val="00877E70"/>
    <w:rsid w:val="008A2398"/>
    <w:rsid w:val="008C5892"/>
    <w:rsid w:val="008E1638"/>
    <w:rsid w:val="008F2F4B"/>
    <w:rsid w:val="00900D39"/>
    <w:rsid w:val="00900DCC"/>
    <w:rsid w:val="00912B30"/>
    <w:rsid w:val="00923C54"/>
    <w:rsid w:val="00926B40"/>
    <w:rsid w:val="00930E9D"/>
    <w:rsid w:val="00962091"/>
    <w:rsid w:val="00964C5A"/>
    <w:rsid w:val="00966E59"/>
    <w:rsid w:val="00990844"/>
    <w:rsid w:val="009A743A"/>
    <w:rsid w:val="009B54DE"/>
    <w:rsid w:val="009E5D41"/>
    <w:rsid w:val="009F20E2"/>
    <w:rsid w:val="00A143D5"/>
    <w:rsid w:val="00A360E7"/>
    <w:rsid w:val="00A41F37"/>
    <w:rsid w:val="00A84D3E"/>
    <w:rsid w:val="00A92A68"/>
    <w:rsid w:val="00A9602A"/>
    <w:rsid w:val="00AD3C99"/>
    <w:rsid w:val="00AD5C49"/>
    <w:rsid w:val="00AE1AF9"/>
    <w:rsid w:val="00B01CAE"/>
    <w:rsid w:val="00B038E0"/>
    <w:rsid w:val="00B06157"/>
    <w:rsid w:val="00B246AA"/>
    <w:rsid w:val="00B37DBF"/>
    <w:rsid w:val="00B42F2F"/>
    <w:rsid w:val="00B53ACD"/>
    <w:rsid w:val="00B70942"/>
    <w:rsid w:val="00B82434"/>
    <w:rsid w:val="00B941B2"/>
    <w:rsid w:val="00BA4E6B"/>
    <w:rsid w:val="00BA5128"/>
    <w:rsid w:val="00BB64FA"/>
    <w:rsid w:val="00BD3B25"/>
    <w:rsid w:val="00BE59E3"/>
    <w:rsid w:val="00BF27F2"/>
    <w:rsid w:val="00C108E7"/>
    <w:rsid w:val="00C76849"/>
    <w:rsid w:val="00C906BA"/>
    <w:rsid w:val="00CA4FE8"/>
    <w:rsid w:val="00CA7A41"/>
    <w:rsid w:val="00CB137C"/>
    <w:rsid w:val="00CB3208"/>
    <w:rsid w:val="00CB6EFC"/>
    <w:rsid w:val="00CC0822"/>
    <w:rsid w:val="00CD0455"/>
    <w:rsid w:val="00CD106D"/>
    <w:rsid w:val="00CE2CFB"/>
    <w:rsid w:val="00CE3122"/>
    <w:rsid w:val="00CE7FFD"/>
    <w:rsid w:val="00CF10B2"/>
    <w:rsid w:val="00D031FA"/>
    <w:rsid w:val="00D240BC"/>
    <w:rsid w:val="00D31D8E"/>
    <w:rsid w:val="00D41B3F"/>
    <w:rsid w:val="00D55580"/>
    <w:rsid w:val="00D61084"/>
    <w:rsid w:val="00D87E63"/>
    <w:rsid w:val="00DC02BB"/>
    <w:rsid w:val="00DC3A75"/>
    <w:rsid w:val="00DD0C20"/>
    <w:rsid w:val="00DD563C"/>
    <w:rsid w:val="00E21C9D"/>
    <w:rsid w:val="00E23803"/>
    <w:rsid w:val="00E24914"/>
    <w:rsid w:val="00E275CB"/>
    <w:rsid w:val="00E40846"/>
    <w:rsid w:val="00E80F91"/>
    <w:rsid w:val="00EC17BF"/>
    <w:rsid w:val="00F10D71"/>
    <w:rsid w:val="00F27982"/>
    <w:rsid w:val="00F27DDB"/>
    <w:rsid w:val="00F41EAD"/>
    <w:rsid w:val="00F47CB5"/>
    <w:rsid w:val="00F811F6"/>
    <w:rsid w:val="00F835F2"/>
    <w:rsid w:val="00FA3870"/>
    <w:rsid w:val="00FB0A0E"/>
    <w:rsid w:val="00FB276C"/>
    <w:rsid w:val="00FB3BF3"/>
    <w:rsid w:val="00FE1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12338"/>
  <w15:chartTrackingRefBased/>
  <w15:docId w15:val="{E23E8A9F-6744-4D01-9CDE-289EF769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6AA"/>
  </w:style>
  <w:style w:type="paragraph" w:styleId="Heading1">
    <w:name w:val="heading 1"/>
    <w:basedOn w:val="Normal"/>
    <w:next w:val="Normal"/>
    <w:link w:val="Heading1Char"/>
    <w:uiPriority w:val="9"/>
    <w:qFormat/>
    <w:rsid w:val="00C906BA"/>
    <w:pPr>
      <w:keepNext/>
      <w:keepLines/>
      <w:numPr>
        <w:numId w:val="33"/>
      </w:numPr>
      <w:spacing w:before="240" w:after="240"/>
      <w:ind w:left="431" w:hanging="431"/>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C906BA"/>
    <w:pPr>
      <w:keepNext/>
      <w:keepLines/>
      <w:numPr>
        <w:ilvl w:val="1"/>
        <w:numId w:val="33"/>
      </w:numPr>
      <w:spacing w:before="40" w:after="0"/>
      <w:outlineLvl w:val="1"/>
    </w:pPr>
    <w:rPr>
      <w:rFonts w:eastAsiaTheme="majorEastAsia" w:cstheme="majorBidi"/>
      <w:color w:val="000000" w:themeColor="text1"/>
      <w:sz w:val="24"/>
      <w:szCs w:val="26"/>
    </w:rPr>
  </w:style>
  <w:style w:type="paragraph" w:styleId="Heading3">
    <w:name w:val="heading 3"/>
    <w:basedOn w:val="Normal"/>
    <w:next w:val="Normal"/>
    <w:link w:val="Heading3Char"/>
    <w:uiPriority w:val="9"/>
    <w:semiHidden/>
    <w:unhideWhenUsed/>
    <w:qFormat/>
    <w:rsid w:val="00C906BA"/>
    <w:pPr>
      <w:keepNext/>
      <w:keepLines/>
      <w:numPr>
        <w:ilvl w:val="2"/>
        <w:numId w:val="33"/>
      </w:numPr>
      <w:spacing w:before="40" w:after="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semiHidden/>
    <w:unhideWhenUsed/>
    <w:qFormat/>
    <w:rsid w:val="009F20E2"/>
    <w:pPr>
      <w:keepNext/>
      <w:keepLines/>
      <w:numPr>
        <w:ilvl w:val="3"/>
        <w:numId w:val="33"/>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20E2"/>
    <w:pPr>
      <w:keepNext/>
      <w:keepLines/>
      <w:numPr>
        <w:ilvl w:val="4"/>
        <w:numId w:val="33"/>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9F20E2"/>
    <w:pPr>
      <w:keepNext/>
      <w:keepLines/>
      <w:numPr>
        <w:ilvl w:val="5"/>
        <w:numId w:val="33"/>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9F20E2"/>
    <w:pPr>
      <w:keepNext/>
      <w:keepLines/>
      <w:numPr>
        <w:ilvl w:val="6"/>
        <w:numId w:val="33"/>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9F20E2"/>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20E2"/>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BA"/>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C906BA"/>
    <w:rPr>
      <w:rFonts w:eastAsiaTheme="majorEastAsia" w:cstheme="majorBidi"/>
      <w:color w:val="000000" w:themeColor="text1"/>
      <w:sz w:val="24"/>
      <w:szCs w:val="26"/>
    </w:rPr>
  </w:style>
  <w:style w:type="character" w:customStyle="1" w:styleId="Heading3Char">
    <w:name w:val="Heading 3 Char"/>
    <w:basedOn w:val="DefaultParagraphFont"/>
    <w:link w:val="Heading3"/>
    <w:uiPriority w:val="9"/>
    <w:semiHidden/>
    <w:rsid w:val="00C906BA"/>
    <w:rPr>
      <w:rFonts w:eastAsiaTheme="majorEastAsia" w:cstheme="majorBidi"/>
      <w:color w:val="000000" w:themeColor="text1"/>
      <w:sz w:val="24"/>
      <w:szCs w:val="24"/>
    </w:rPr>
  </w:style>
  <w:style w:type="character" w:customStyle="1" w:styleId="Heading4Char">
    <w:name w:val="Heading 4 Char"/>
    <w:basedOn w:val="DefaultParagraphFont"/>
    <w:link w:val="Heading4"/>
    <w:uiPriority w:val="9"/>
    <w:semiHidden/>
    <w:rsid w:val="009F20E2"/>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9F20E2"/>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9F20E2"/>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9F20E2"/>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9F20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20E2"/>
    <w:rPr>
      <w:rFonts w:asciiTheme="majorHAnsi" w:eastAsiaTheme="majorEastAsia" w:hAnsiTheme="majorHAnsi" w:cstheme="majorBidi"/>
      <w:i/>
      <w:iCs/>
      <w:color w:val="272727" w:themeColor="text1" w:themeTint="D8"/>
      <w:sz w:val="21"/>
      <w:szCs w:val="21"/>
    </w:rPr>
  </w:style>
  <w:style w:type="paragraph" w:customStyle="1" w:styleId="Figure">
    <w:name w:val="Figure"/>
    <w:basedOn w:val="Normal"/>
    <w:next w:val="Normal"/>
    <w:link w:val="FigureChar"/>
    <w:qFormat/>
    <w:rsid w:val="00CC0822"/>
    <w:pPr>
      <w:spacing w:after="240"/>
      <w:jc w:val="center"/>
    </w:pPr>
    <w:rPr>
      <w:i/>
      <w:color w:val="C00000"/>
    </w:rPr>
  </w:style>
  <w:style w:type="character" w:customStyle="1" w:styleId="FigureChar">
    <w:name w:val="Figure Char"/>
    <w:basedOn w:val="DefaultParagraphFont"/>
    <w:link w:val="Figure"/>
    <w:rsid w:val="00CC0822"/>
    <w:rPr>
      <w:i/>
      <w:color w:val="C00000"/>
    </w:rPr>
  </w:style>
  <w:style w:type="paragraph" w:styleId="Quote">
    <w:name w:val="Quote"/>
    <w:basedOn w:val="Normal"/>
    <w:next w:val="Normal"/>
    <w:link w:val="QuoteChar"/>
    <w:uiPriority w:val="29"/>
    <w:rsid w:val="00CC082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C0822"/>
    <w:rPr>
      <w:i/>
      <w:iCs/>
      <w:color w:val="404040" w:themeColor="text1" w:themeTint="BF"/>
    </w:rPr>
  </w:style>
  <w:style w:type="paragraph" w:styleId="Title">
    <w:name w:val="Title"/>
    <w:basedOn w:val="Normal"/>
    <w:next w:val="Normal"/>
    <w:link w:val="TitleChar"/>
    <w:uiPriority w:val="10"/>
    <w:rsid w:val="00141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41C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C8F"/>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141C8F"/>
    <w:pPr>
      <w:ind w:left="720"/>
      <w:contextualSpacing/>
    </w:pPr>
  </w:style>
  <w:style w:type="character" w:styleId="IntenseEmphasis">
    <w:name w:val="Intense Emphasis"/>
    <w:basedOn w:val="DefaultParagraphFont"/>
    <w:uiPriority w:val="21"/>
    <w:rsid w:val="00141C8F"/>
    <w:rPr>
      <w:i/>
      <w:iCs/>
      <w:color w:val="0F4761" w:themeColor="accent1" w:themeShade="BF"/>
    </w:rPr>
  </w:style>
  <w:style w:type="paragraph" w:styleId="IntenseQuote">
    <w:name w:val="Intense Quote"/>
    <w:basedOn w:val="Normal"/>
    <w:next w:val="Normal"/>
    <w:link w:val="IntenseQuoteChar"/>
    <w:uiPriority w:val="30"/>
    <w:rsid w:val="00141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C8F"/>
    <w:rPr>
      <w:i/>
      <w:iCs/>
      <w:color w:val="0F4761" w:themeColor="accent1" w:themeShade="BF"/>
    </w:rPr>
  </w:style>
  <w:style w:type="character" w:styleId="IntenseReference">
    <w:name w:val="Intense Reference"/>
    <w:basedOn w:val="DefaultParagraphFont"/>
    <w:uiPriority w:val="32"/>
    <w:rsid w:val="00141C8F"/>
    <w:rPr>
      <w:b/>
      <w:bCs/>
      <w:smallCaps/>
      <w:color w:val="0F4761" w:themeColor="accent1" w:themeShade="BF"/>
      <w:spacing w:val="5"/>
    </w:rPr>
  </w:style>
  <w:style w:type="paragraph" w:styleId="Header">
    <w:name w:val="header"/>
    <w:basedOn w:val="Normal"/>
    <w:link w:val="HeaderChar"/>
    <w:uiPriority w:val="99"/>
    <w:unhideWhenUsed/>
    <w:rsid w:val="00141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C8F"/>
  </w:style>
  <w:style w:type="paragraph" w:styleId="Footer">
    <w:name w:val="footer"/>
    <w:basedOn w:val="Normal"/>
    <w:link w:val="FooterChar"/>
    <w:uiPriority w:val="99"/>
    <w:unhideWhenUsed/>
    <w:rsid w:val="00141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C8F"/>
  </w:style>
  <w:style w:type="table" w:customStyle="1" w:styleId="Blank">
    <w:name w:val="Blank"/>
    <w:basedOn w:val="TableNormal"/>
    <w:uiPriority w:val="99"/>
    <w:rsid w:val="007E6630"/>
    <w:pPr>
      <w:spacing w:after="0" w:line="240" w:lineRule="auto"/>
    </w:pPr>
    <w:rPr>
      <w:rFonts w:asciiTheme="minorHAnsi" w:eastAsiaTheme="minorEastAsia" w:hAnsiTheme="minorHAnsi" w:cstheme="minorBidi"/>
      <w:kern w:val="0"/>
      <w:sz w:val="22"/>
      <w:szCs w:val="22"/>
      <w:lang w:val="en-GB"/>
      <w14:ligatures w14:val="none"/>
    </w:rPr>
    <w:tblPr>
      <w:tblCellMar>
        <w:left w:w="0" w:type="dxa"/>
        <w:right w:w="0" w:type="dxa"/>
      </w:tblCellMar>
    </w:tblPr>
  </w:style>
  <w:style w:type="character" w:customStyle="1" w:styleId="RedColour">
    <w:name w:val="Red Colour"/>
    <w:uiPriority w:val="9"/>
    <w:qFormat/>
    <w:rsid w:val="007E6630"/>
    <w:rPr>
      <w:rFonts w:asciiTheme="minorHAnsi" w:eastAsiaTheme="minorEastAsia" w:hAnsiTheme="minorHAnsi" w:cstheme="minorBidi"/>
      <w:color w:val="E61E28"/>
      <w:lang w:val="en-AU"/>
    </w:rPr>
  </w:style>
  <w:style w:type="paragraph" w:customStyle="1" w:styleId="Template-Address">
    <w:name w:val="Template - Address"/>
    <w:basedOn w:val="Normal"/>
    <w:uiPriority w:val="15"/>
    <w:semiHidden/>
    <w:rsid w:val="007E6630"/>
    <w:pPr>
      <w:tabs>
        <w:tab w:val="left" w:pos="567"/>
      </w:tabs>
      <w:suppressAutoHyphens/>
      <w:spacing w:after="80" w:line="160" w:lineRule="atLeast"/>
      <w:contextualSpacing/>
    </w:pPr>
    <w:rPr>
      <w:rFonts w:asciiTheme="minorHAnsi" w:eastAsiaTheme="minorEastAsia" w:hAnsiTheme="minorHAnsi" w:cstheme="minorBidi"/>
      <w:noProof/>
      <w:kern w:val="0"/>
      <w:sz w:val="14"/>
      <w:szCs w:val="22"/>
      <w:lang w:eastAsia="zh-CN"/>
      <w14:ligatures w14:val="none"/>
    </w:rPr>
  </w:style>
  <w:style w:type="character" w:customStyle="1" w:styleId="Bold">
    <w:name w:val="Bold"/>
    <w:basedOn w:val="DefaultParagraphFont"/>
    <w:uiPriority w:val="99"/>
    <w:semiHidden/>
    <w:qFormat/>
    <w:rsid w:val="007E6630"/>
    <w:rPr>
      <w:b/>
      <w:lang w:val="en-AU"/>
    </w:rPr>
  </w:style>
  <w:style w:type="paragraph" w:customStyle="1" w:styleId="Disclaimer">
    <w:name w:val="Disclaimer"/>
    <w:basedOn w:val="Normal"/>
    <w:uiPriority w:val="99"/>
    <w:semiHidden/>
    <w:rsid w:val="007E6630"/>
    <w:pPr>
      <w:spacing w:after="0" w:line="160" w:lineRule="atLeast"/>
    </w:pPr>
    <w:rPr>
      <w:rFonts w:asciiTheme="minorHAnsi" w:eastAsiaTheme="minorEastAsia" w:hAnsiTheme="minorHAnsi" w:cstheme="minorBidi"/>
      <w:kern w:val="0"/>
      <w:sz w:val="14"/>
      <w:szCs w:val="22"/>
      <w:lang w:eastAsia="zh-CN"/>
      <w14:ligatures w14:val="none"/>
    </w:rPr>
  </w:style>
  <w:style w:type="character" w:styleId="PlaceholderText">
    <w:name w:val="Placeholder Text"/>
    <w:basedOn w:val="DefaultParagraphFont"/>
    <w:uiPriority w:val="99"/>
    <w:rsid w:val="00CF10B2"/>
    <w:rPr>
      <w:rFonts w:asciiTheme="minorHAnsi" w:eastAsiaTheme="minorEastAsia" w:hAnsiTheme="minorHAnsi" w:cstheme="minorBidi"/>
      <w:color w:val="808080"/>
      <w:lang w:val="en-AU"/>
    </w:rPr>
  </w:style>
  <w:style w:type="paragraph" w:customStyle="1" w:styleId="Cover-Subtitle">
    <w:name w:val="Cover - Subtitle"/>
    <w:basedOn w:val="Normal"/>
    <w:next w:val="Cover-Ref"/>
    <w:uiPriority w:val="99"/>
    <w:semiHidden/>
    <w:rsid w:val="00CF10B2"/>
    <w:pPr>
      <w:suppressAutoHyphens/>
      <w:spacing w:before="120" w:after="80" w:line="240" w:lineRule="auto"/>
    </w:pPr>
    <w:rPr>
      <w:rFonts w:asciiTheme="minorHAnsi" w:eastAsiaTheme="minorEastAsia" w:hAnsiTheme="minorHAnsi" w:cstheme="minorBidi"/>
      <w:kern w:val="0"/>
      <w:sz w:val="28"/>
      <w:szCs w:val="22"/>
      <w:lang w:eastAsia="zh-CN"/>
      <w14:ligatures w14:val="none"/>
    </w:rPr>
  </w:style>
  <w:style w:type="paragraph" w:customStyle="1" w:styleId="Cover-Client">
    <w:name w:val="Cover - Client"/>
    <w:basedOn w:val="Cover-Subtitle"/>
    <w:uiPriority w:val="99"/>
    <w:semiHidden/>
    <w:qFormat/>
    <w:rsid w:val="00CF10B2"/>
    <w:pPr>
      <w:spacing w:before="0" w:after="120"/>
    </w:pPr>
    <w:rPr>
      <w:rFonts w:asciiTheme="majorHAnsi" w:eastAsiaTheme="majorEastAsia" w:hAnsiTheme="majorHAnsi" w:cstheme="majorBidi"/>
      <w:b/>
      <w:color w:val="E61E28"/>
      <w:sz w:val="24"/>
    </w:rPr>
  </w:style>
  <w:style w:type="paragraph" w:customStyle="1" w:styleId="Cover-Ref">
    <w:name w:val="Cover - Ref"/>
    <w:basedOn w:val="Normal"/>
    <w:uiPriority w:val="99"/>
    <w:semiHidden/>
    <w:rsid w:val="00CF10B2"/>
    <w:pPr>
      <w:spacing w:after="40" w:line="240" w:lineRule="auto"/>
    </w:pPr>
    <w:rPr>
      <w:rFonts w:asciiTheme="minorHAnsi" w:eastAsiaTheme="minorEastAsia" w:hAnsiTheme="minorHAnsi" w:cstheme="minorBidi"/>
      <w:kern w:val="0"/>
      <w:sz w:val="18"/>
      <w:szCs w:val="22"/>
      <w:lang w:eastAsia="zh-CN"/>
      <w14:ligatures w14:val="none"/>
    </w:rPr>
  </w:style>
  <w:style w:type="paragraph" w:customStyle="1" w:styleId="Cover-Title">
    <w:name w:val="Cover - Title"/>
    <w:basedOn w:val="Normal"/>
    <w:next w:val="Cover-Subtitle"/>
    <w:uiPriority w:val="99"/>
    <w:semiHidden/>
    <w:rsid w:val="00CF10B2"/>
    <w:pPr>
      <w:suppressAutoHyphens/>
      <w:spacing w:before="40" w:after="0" w:line="240" w:lineRule="auto"/>
    </w:pPr>
    <w:rPr>
      <w:rFonts w:asciiTheme="minorHAnsi" w:eastAsiaTheme="minorEastAsia" w:hAnsiTheme="minorHAnsi" w:cstheme="minorBidi"/>
      <w:kern w:val="0"/>
      <w:sz w:val="44"/>
      <w:szCs w:val="22"/>
      <w:lang w:eastAsia="zh-CN"/>
      <w14:ligatures w14:val="none"/>
    </w:rPr>
  </w:style>
  <w:style w:type="paragraph" w:customStyle="1" w:styleId="Appendix">
    <w:name w:val="Appendix"/>
    <w:basedOn w:val="Heading1"/>
    <w:link w:val="AppendixChar"/>
    <w:qFormat/>
    <w:rsid w:val="0086136A"/>
    <w:pPr>
      <w:numPr>
        <w:numId w:val="0"/>
      </w:numPr>
    </w:pPr>
    <w:rPr>
      <w:b w:val="0"/>
    </w:rPr>
  </w:style>
  <w:style w:type="character" w:customStyle="1" w:styleId="AppendixChar">
    <w:name w:val="Appendix Char"/>
    <w:basedOn w:val="Heading1Char"/>
    <w:link w:val="Appendix"/>
    <w:rsid w:val="0086136A"/>
    <w:rPr>
      <w:rFonts w:eastAsiaTheme="majorEastAsia" w:cstheme="majorBidi"/>
      <w:b w:val="0"/>
      <w:color w:val="E61E28"/>
      <w:sz w:val="28"/>
      <w:szCs w:val="32"/>
    </w:rPr>
  </w:style>
  <w:style w:type="paragraph" w:styleId="TOC2">
    <w:name w:val="toc 2"/>
    <w:basedOn w:val="Normal"/>
    <w:next w:val="Normal"/>
    <w:autoRedefine/>
    <w:uiPriority w:val="39"/>
    <w:unhideWhenUsed/>
    <w:rsid w:val="005B6385"/>
    <w:pPr>
      <w:spacing w:after="100"/>
      <w:ind w:left="200"/>
    </w:pPr>
  </w:style>
  <w:style w:type="character" w:styleId="Hyperlink">
    <w:name w:val="Hyperlink"/>
    <w:basedOn w:val="DefaultParagraphFont"/>
    <w:uiPriority w:val="99"/>
    <w:unhideWhenUsed/>
    <w:rsid w:val="005B6385"/>
    <w:rPr>
      <w:color w:val="467886" w:themeColor="hyperlink"/>
      <w:u w:val="single"/>
    </w:rPr>
  </w:style>
  <w:style w:type="table" w:styleId="TableGrid">
    <w:name w:val="Table Grid"/>
    <w:basedOn w:val="TableNormal"/>
    <w:uiPriority w:val="39"/>
    <w:rsid w:val="00B24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F2F4B"/>
    <w:pPr>
      <w:numPr>
        <w:numId w:val="0"/>
      </w:numPr>
      <w:spacing w:after="0"/>
      <w:outlineLvl w:val="9"/>
    </w:pPr>
    <w:rPr>
      <w:rFonts w:asciiTheme="majorHAnsi" w:hAnsiTheme="majorHAnsi"/>
      <w:b w:val="0"/>
      <w:color w:val="0F4761" w:themeColor="accent1" w:themeShade="BF"/>
      <w:kern w:val="0"/>
      <w:sz w:val="32"/>
      <w:lang w:eastAsia="en-AU"/>
      <w14:ligatures w14:val="none"/>
    </w:rPr>
  </w:style>
  <w:style w:type="paragraph" w:styleId="TOC1">
    <w:name w:val="toc 1"/>
    <w:basedOn w:val="Normal"/>
    <w:next w:val="Normal"/>
    <w:autoRedefine/>
    <w:uiPriority w:val="39"/>
    <w:unhideWhenUsed/>
    <w:rsid w:val="008F2F4B"/>
    <w:pPr>
      <w:spacing w:after="100"/>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paragraph" w:customStyle="1" w:styleId="FirstParagraph">
    <w:name w:val="First Paragraph"/>
    <w:basedOn w:val="BodyText"/>
    <w:next w:val="BodyText"/>
    <w:qFormat/>
  </w:style>
  <w:style w:type="paragraph" w:styleId="BodyText">
    <w:name w:val="Body Text"/>
    <w:basedOn w:val="Normal"/>
    <w:link w:val="BodyTextChar"/>
    <w:qFormat/>
    <w:pPr>
      <w:spacing w:before="180" w:after="180"/>
    </w:pPr>
  </w:style>
  <w:style w:type="character" w:customStyle="1" w:styleId="BodyTextChar">
    <w:name w:val="Body Text Char"/>
    <w:basedOn w:val="DefaultParagraphFont"/>
    <w:link w:val="BodyText"/>
  </w:style>
  <w:style w:type="table" w:customStyle="1" w:styleId="Table">
    <w:name w:val="Table"/>
    <w:basedOn w:val="TableNormal"/>
    <w:semiHidden/>
    <w:unhideWhenUsed/>
    <w:qFormat/>
    <w:tblPr/>
    <w:tblStylePr w:type="firstRow">
      <w:tblPr/>
      <w:tcPr>
        <w:tcBorders>
          <w:bottom w:val="single" w:sz="0" w:space="0" w:color="auto"/>
        </w:tcBorders>
        <w:vAlign w:val="bottom"/>
      </w:tcPr>
    </w:tblStylePr>
  </w:style>
  <w:style w:type="paragraph" w:customStyle="1" w:styleId="Compact">
    <w:name w:val="Compact"/>
    <w:basedOn w:val="BodyText"/>
    <w:qFormat/>
    <w:pPr>
      <w:spacing w:before="36" w:after="36"/>
    </w:pPr>
  </w:style>
  <w:style w:type="paragraph" w:styleId="TOC3">
    <w:name w:val="toc 3"/>
    <w:basedOn w:val="Normal"/>
    <w:next w:val="Normal"/>
    <w:autoRedefine/>
    <w:uiPriority w:val="39"/>
    <w:unhideWhenUsed/>
    <w:rsid w:val="0074313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843756">
      <w:bodyDiv w:val="1"/>
      <w:marLeft w:val="0"/>
      <w:marRight w:val="0"/>
      <w:marTop w:val="0"/>
      <w:marBottom w:val="0"/>
      <w:divBdr>
        <w:top w:val="none" w:sz="0" w:space="0" w:color="auto"/>
        <w:left w:val="none" w:sz="0" w:space="0" w:color="auto"/>
        <w:bottom w:val="none" w:sz="0" w:space="0" w:color="auto"/>
        <w:right w:val="none" w:sz="0" w:space="0" w:color="auto"/>
      </w:divBdr>
      <w:divsChild>
        <w:div w:id="1292248712">
          <w:marLeft w:val="0"/>
          <w:marRight w:val="0"/>
          <w:marTop w:val="0"/>
          <w:marBottom w:val="0"/>
          <w:divBdr>
            <w:top w:val="none" w:sz="0" w:space="0" w:color="auto"/>
            <w:left w:val="none" w:sz="0" w:space="0" w:color="auto"/>
            <w:bottom w:val="none" w:sz="0" w:space="0" w:color="auto"/>
            <w:right w:val="none" w:sz="0" w:space="0" w:color="auto"/>
          </w:divBdr>
          <w:divsChild>
            <w:div w:id="59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8450">
      <w:bodyDiv w:val="1"/>
      <w:marLeft w:val="0"/>
      <w:marRight w:val="0"/>
      <w:marTop w:val="0"/>
      <w:marBottom w:val="0"/>
      <w:divBdr>
        <w:top w:val="none" w:sz="0" w:space="0" w:color="auto"/>
        <w:left w:val="none" w:sz="0" w:space="0" w:color="auto"/>
        <w:bottom w:val="none" w:sz="0" w:space="0" w:color="auto"/>
        <w:right w:val="none" w:sz="0" w:space="0" w:color="auto"/>
      </w:divBdr>
      <w:divsChild>
        <w:div w:id="1456673445">
          <w:marLeft w:val="0"/>
          <w:marRight w:val="0"/>
          <w:marTop w:val="0"/>
          <w:marBottom w:val="0"/>
          <w:divBdr>
            <w:top w:val="none" w:sz="0" w:space="0" w:color="auto"/>
            <w:left w:val="none" w:sz="0" w:space="0" w:color="auto"/>
            <w:bottom w:val="none" w:sz="0" w:space="0" w:color="auto"/>
            <w:right w:val="none" w:sz="0" w:space="0" w:color="auto"/>
          </w:divBdr>
          <w:divsChild>
            <w:div w:id="14952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58035">
      <w:bodyDiv w:val="1"/>
      <w:marLeft w:val="0"/>
      <w:marRight w:val="0"/>
      <w:marTop w:val="0"/>
      <w:marBottom w:val="0"/>
      <w:divBdr>
        <w:top w:val="none" w:sz="0" w:space="0" w:color="auto"/>
        <w:left w:val="none" w:sz="0" w:space="0" w:color="auto"/>
        <w:bottom w:val="none" w:sz="0" w:space="0" w:color="auto"/>
        <w:right w:val="none" w:sz="0" w:space="0" w:color="auto"/>
      </w:divBdr>
      <w:divsChild>
        <w:div w:id="377706468">
          <w:marLeft w:val="0"/>
          <w:marRight w:val="0"/>
          <w:marTop w:val="0"/>
          <w:marBottom w:val="0"/>
          <w:divBdr>
            <w:top w:val="none" w:sz="0" w:space="0" w:color="auto"/>
            <w:left w:val="none" w:sz="0" w:space="0" w:color="auto"/>
            <w:bottom w:val="none" w:sz="0" w:space="0" w:color="auto"/>
            <w:right w:val="none" w:sz="0" w:space="0" w:color="auto"/>
          </w:divBdr>
          <w:divsChild>
            <w:div w:id="18097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58338">
      <w:bodyDiv w:val="1"/>
      <w:marLeft w:val="0"/>
      <w:marRight w:val="0"/>
      <w:marTop w:val="0"/>
      <w:marBottom w:val="0"/>
      <w:divBdr>
        <w:top w:val="none" w:sz="0" w:space="0" w:color="auto"/>
        <w:left w:val="none" w:sz="0" w:space="0" w:color="auto"/>
        <w:bottom w:val="none" w:sz="0" w:space="0" w:color="auto"/>
        <w:right w:val="none" w:sz="0" w:space="0" w:color="auto"/>
      </w:divBdr>
      <w:divsChild>
        <w:div w:id="274950658">
          <w:marLeft w:val="0"/>
          <w:marRight w:val="0"/>
          <w:marTop w:val="0"/>
          <w:marBottom w:val="0"/>
          <w:divBdr>
            <w:top w:val="none" w:sz="0" w:space="0" w:color="auto"/>
            <w:left w:val="none" w:sz="0" w:space="0" w:color="auto"/>
            <w:bottom w:val="none" w:sz="0" w:space="0" w:color="auto"/>
            <w:right w:val="none" w:sz="0" w:space="0" w:color="auto"/>
          </w:divBdr>
          <w:divsChild>
            <w:div w:id="4497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E3C49AF18496B91F2677E5CDC79EE"/>
        <w:category>
          <w:name w:val="General"/>
          <w:gallery w:val="placeholder"/>
        </w:category>
        <w:types>
          <w:type w:val="bbPlcHdr"/>
        </w:types>
        <w:behaviors>
          <w:behavior w:val="content"/>
        </w:behaviors>
        <w:guid w:val="{4CD09CF9-5553-4CF0-B708-E3432CF8E0B1}"/>
      </w:docPartPr>
      <w:docPartBody>
        <w:p w:rsidR="0037720D" w:rsidRDefault="00C731A9" w:rsidP="00C731A9">
          <w:pPr>
            <w:pStyle w:val="005E3C49AF18496B91F2677E5CDC79EE"/>
          </w:pPr>
          <w:bookmarkStart w:id="0" w:name="start"/>
          <w:bookmarkStart w:id="1" w:name="start"/>
          <w:bookmarkEnd w:id="0"/>
          <w:bookmarkEnd w:id="1"/>
          <w:r w:rsidRPr="0094420D">
            <w:t>Client Name</w:t>
          </w:r>
        </w:p>
      </w:docPartBody>
    </w:docPart>
    <w:docPart>
      <w:docPartPr>
        <w:name w:val="9DEC2A99BEA3451293BC110064DEBA4E"/>
        <w:category>
          <w:name w:val="General"/>
          <w:gallery w:val="placeholder"/>
        </w:category>
        <w:types>
          <w:type w:val="bbPlcHdr"/>
        </w:types>
        <w:behaviors>
          <w:behavior w:val="content"/>
        </w:behaviors>
        <w:guid w:val="{82BC7BD5-5140-48D0-B00B-5B91633503ED}"/>
      </w:docPartPr>
      <w:docPartBody>
        <w:p w:rsidR="0037720D" w:rsidRDefault="00C731A9" w:rsidP="00C731A9">
          <w:pPr>
            <w:pStyle w:val="9DEC2A99BEA3451293BC110064DEBA4E"/>
          </w:pPr>
          <w:r w:rsidRPr="0094420D">
            <w:t>Project Title</w:t>
          </w:r>
        </w:p>
      </w:docPartBody>
    </w:docPart>
    <w:docPart>
      <w:docPartPr>
        <w:name w:val="39220B974A3F457E8FEAB4DFC788D00C"/>
        <w:category>
          <w:name w:val="General"/>
          <w:gallery w:val="placeholder"/>
        </w:category>
        <w:types>
          <w:type w:val="bbPlcHdr"/>
        </w:types>
        <w:behaviors>
          <w:behavior w:val="content"/>
        </w:behaviors>
        <w:guid w:val="{88807DF8-F41C-41C6-AE77-2A9D62530A56}"/>
      </w:docPartPr>
      <w:docPartBody>
        <w:p w:rsidR="0037720D" w:rsidRDefault="00C731A9" w:rsidP="00C731A9">
          <w:pPr>
            <w:pStyle w:val="39220B974A3F457E8FEAB4DFC788D00C"/>
          </w:pPr>
          <w:r w:rsidRPr="002F5F75">
            <w:rPr>
              <w:rStyle w:val="PlaceholderText"/>
            </w:rPr>
            <w:t>Click or tap here to enter text.</w:t>
          </w:r>
        </w:p>
      </w:docPartBody>
    </w:docPart>
    <w:docPart>
      <w:docPartPr>
        <w:name w:val="39E3CBEB6A544990BE74A8F0AB8DC36A"/>
        <w:category>
          <w:name w:val="General"/>
          <w:gallery w:val="placeholder"/>
        </w:category>
        <w:types>
          <w:type w:val="bbPlcHdr"/>
        </w:types>
        <w:behaviors>
          <w:behavior w:val="content"/>
        </w:behaviors>
        <w:guid w:val="{0900F336-5D16-4F4B-A56D-876F2F39FE3B}"/>
      </w:docPartPr>
      <w:docPartBody>
        <w:p w:rsidR="0037720D" w:rsidRDefault="00C731A9" w:rsidP="00C731A9">
          <w:pPr>
            <w:pStyle w:val="39E3CBEB6A544990BE74A8F0AB8DC36A"/>
          </w:pPr>
          <w:r w:rsidRPr="0094420D">
            <w:t>Document Reference</w:t>
          </w:r>
        </w:p>
      </w:docPartBody>
    </w:docPart>
    <w:docPart>
      <w:docPartPr>
        <w:name w:val="3EF52A24E272460AA1B9AF9FA4CE5191"/>
        <w:category>
          <w:name w:val="General"/>
          <w:gallery w:val="placeholder"/>
        </w:category>
        <w:types>
          <w:type w:val="bbPlcHdr"/>
        </w:types>
        <w:behaviors>
          <w:behavior w:val="content"/>
        </w:behaviors>
        <w:guid w:val="{2157E235-AE4A-46B8-8D34-DBB724728769}"/>
      </w:docPartPr>
      <w:docPartBody>
        <w:p w:rsidR="0037720D" w:rsidRDefault="00C731A9" w:rsidP="00C731A9">
          <w:pPr>
            <w:pStyle w:val="3EF52A24E272460AA1B9AF9FA4CE5191"/>
          </w:pPr>
          <w:r>
            <w:rPr>
              <w:rStyle w:val="PlaceholderText"/>
            </w:rPr>
            <w:t>Revision</w:t>
          </w:r>
        </w:p>
      </w:docPartBody>
    </w:docPart>
    <w:docPart>
      <w:docPartPr>
        <w:name w:val="975B9E6874BA4F63BAB817BB0F40B203"/>
        <w:category>
          <w:name w:val="General"/>
          <w:gallery w:val="placeholder"/>
        </w:category>
        <w:types>
          <w:type w:val="bbPlcHdr"/>
        </w:types>
        <w:behaviors>
          <w:behavior w:val="content"/>
        </w:behaviors>
        <w:guid w:val="{0A667657-A88A-44F6-BB59-13A5BAA01F1C}"/>
      </w:docPartPr>
      <w:docPartBody>
        <w:p w:rsidR="0037720D" w:rsidRDefault="00C731A9" w:rsidP="00C731A9">
          <w:pPr>
            <w:pStyle w:val="975B9E6874BA4F63BAB817BB0F40B20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roy SemiBold">
    <w:panose1 w:val="00000700000000000000"/>
    <w:charset w:val="00"/>
    <w:family w:val="modern"/>
    <w:notTrueType/>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A9"/>
    <w:rsid w:val="00045FC1"/>
    <w:rsid w:val="00083E41"/>
    <w:rsid w:val="000A39F1"/>
    <w:rsid w:val="00104E52"/>
    <w:rsid w:val="001217D2"/>
    <w:rsid w:val="00126428"/>
    <w:rsid w:val="001A7FFB"/>
    <w:rsid w:val="001B19A1"/>
    <w:rsid w:val="001D06D3"/>
    <w:rsid w:val="00205A35"/>
    <w:rsid w:val="00210739"/>
    <w:rsid w:val="00227F83"/>
    <w:rsid w:val="002733AF"/>
    <w:rsid w:val="002E6600"/>
    <w:rsid w:val="00300CD7"/>
    <w:rsid w:val="00332C25"/>
    <w:rsid w:val="003729E0"/>
    <w:rsid w:val="0037720D"/>
    <w:rsid w:val="00396EE0"/>
    <w:rsid w:val="003A3DCA"/>
    <w:rsid w:val="003D0E5A"/>
    <w:rsid w:val="004A0897"/>
    <w:rsid w:val="004B7E61"/>
    <w:rsid w:val="004D23B7"/>
    <w:rsid w:val="00580605"/>
    <w:rsid w:val="0059125C"/>
    <w:rsid w:val="005923A4"/>
    <w:rsid w:val="005926DC"/>
    <w:rsid w:val="005A2AB7"/>
    <w:rsid w:val="005E0A20"/>
    <w:rsid w:val="00647C67"/>
    <w:rsid w:val="00686E78"/>
    <w:rsid w:val="006B1EF4"/>
    <w:rsid w:val="006E091A"/>
    <w:rsid w:val="00723F20"/>
    <w:rsid w:val="007549F3"/>
    <w:rsid w:val="00776D3C"/>
    <w:rsid w:val="00780E75"/>
    <w:rsid w:val="007B38C3"/>
    <w:rsid w:val="008646A9"/>
    <w:rsid w:val="008713C8"/>
    <w:rsid w:val="00900D39"/>
    <w:rsid w:val="00915567"/>
    <w:rsid w:val="009A743A"/>
    <w:rsid w:val="009B1040"/>
    <w:rsid w:val="00A01639"/>
    <w:rsid w:val="00A25034"/>
    <w:rsid w:val="00A25FFE"/>
    <w:rsid w:val="00A26094"/>
    <w:rsid w:val="00A84D3E"/>
    <w:rsid w:val="00A92A68"/>
    <w:rsid w:val="00A9602A"/>
    <w:rsid w:val="00AB3BFA"/>
    <w:rsid w:val="00AF75B9"/>
    <w:rsid w:val="00B42F2F"/>
    <w:rsid w:val="00B43866"/>
    <w:rsid w:val="00B82434"/>
    <w:rsid w:val="00BB64FA"/>
    <w:rsid w:val="00BC166A"/>
    <w:rsid w:val="00BD6FFE"/>
    <w:rsid w:val="00BE342B"/>
    <w:rsid w:val="00BE59E3"/>
    <w:rsid w:val="00C37ACD"/>
    <w:rsid w:val="00C731A9"/>
    <w:rsid w:val="00CA4FE8"/>
    <w:rsid w:val="00CA7A41"/>
    <w:rsid w:val="00CD0455"/>
    <w:rsid w:val="00CE3122"/>
    <w:rsid w:val="00CE7FFD"/>
    <w:rsid w:val="00D10D6A"/>
    <w:rsid w:val="00D240BC"/>
    <w:rsid w:val="00D55580"/>
    <w:rsid w:val="00DD20CB"/>
    <w:rsid w:val="00E257BC"/>
    <w:rsid w:val="00E60476"/>
    <w:rsid w:val="00E838DC"/>
    <w:rsid w:val="00EE53C5"/>
    <w:rsid w:val="00F27982"/>
    <w:rsid w:val="00F95062"/>
    <w:rsid w:val="00FA3983"/>
    <w:rsid w:val="00FF1D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6094"/>
    <w:rPr>
      <w:rFonts w:asciiTheme="minorHAnsi" w:eastAsiaTheme="minorEastAsia" w:hAnsiTheme="minorHAnsi" w:cstheme="minorBidi"/>
      <w:color w:val="808080"/>
      <w:lang w:val="en-AU"/>
    </w:rPr>
  </w:style>
  <w:style w:type="paragraph" w:customStyle="1" w:styleId="005E3C49AF18496B91F2677E5CDC79EE">
    <w:name w:val="005E3C49AF18496B91F2677E5CDC79EE"/>
    <w:rsid w:val="00C731A9"/>
  </w:style>
  <w:style w:type="paragraph" w:customStyle="1" w:styleId="9DEC2A99BEA3451293BC110064DEBA4E">
    <w:name w:val="9DEC2A99BEA3451293BC110064DEBA4E"/>
    <w:rsid w:val="00C731A9"/>
  </w:style>
  <w:style w:type="paragraph" w:customStyle="1" w:styleId="39220B974A3F457E8FEAB4DFC788D00C">
    <w:name w:val="39220B974A3F457E8FEAB4DFC788D00C"/>
    <w:rsid w:val="00C731A9"/>
  </w:style>
  <w:style w:type="paragraph" w:customStyle="1" w:styleId="39E3CBEB6A544990BE74A8F0AB8DC36A">
    <w:name w:val="39E3CBEB6A544990BE74A8F0AB8DC36A"/>
    <w:rsid w:val="00C731A9"/>
  </w:style>
  <w:style w:type="paragraph" w:customStyle="1" w:styleId="3EF52A24E272460AA1B9AF9FA4CE5191">
    <w:name w:val="3EF52A24E272460AA1B9AF9FA4CE5191"/>
    <w:rsid w:val="00C731A9"/>
  </w:style>
  <w:style w:type="paragraph" w:customStyle="1" w:styleId="975B9E6874BA4F63BAB817BB0F40B203">
    <w:name w:val="975B9E6874BA4F63BAB817BB0F40B203"/>
    <w:rsid w:val="00C73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DD75-3ED9-4D14-AD89-302A64BD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29</Pages>
  <Words>11522</Words>
  <Characters>65678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77046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dc:creator>
  <cp:keywords/>
  <dc:description/>
  <cp:lastModifiedBy>Mike Pascale</cp:lastModifiedBy>
  <cp:revision>78</cp:revision>
  <dcterms:created xsi:type="dcterms:W3CDTF">2025-04-23T01:55:00Z</dcterms:created>
  <dcterms:modified xsi:type="dcterms:W3CDTF">2026-01-10T09:23:00Z</dcterms:modified>
  <dc:identifier/>
  <dc:language/>
</cp:coreProperties>
</file>