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AE63" w14:textId="77777777" w:rsidR="00457DB3" w:rsidRDefault="00687C79" w:rsidP="00B814FD">
      <w:pPr>
        <w:spacing w:line="480" w:lineRule="auto"/>
        <w:rPr>
          <w:b/>
          <w:bCs/>
          <w:sz w:val="22"/>
          <w:szCs w:val="22"/>
        </w:rPr>
      </w:pPr>
      <w:r w:rsidRPr="00687C79">
        <w:rPr>
          <w:rFonts w:ascii="Gilroy SemiBold" w:hAnsi="Gilroy SemiBold"/>
          <w:b/>
          <w:bCs/>
          <w:noProof/>
          <w:sz w:val="40"/>
          <w:szCs w:val="40"/>
        </w:rPr>
        <w:drawing>
          <wp:anchor distT="0" distB="0" distL="114300" distR="114300" simplePos="0" relativeHeight="251658239" behindDoc="1" locked="0" layoutInCell="1" allowOverlap="1" wp14:anchorId="7510F168" wp14:editId="260A0610">
            <wp:simplePos x="0" y="0"/>
            <wp:positionH relativeFrom="column">
              <wp:posOffset>-606970</wp:posOffset>
            </wp:positionH>
            <wp:positionV relativeFrom="page">
              <wp:posOffset>-60325</wp:posOffset>
            </wp:positionV>
            <wp:extent cx="8882380" cy="11493500"/>
            <wp:effectExtent l="0" t="0" r="0" b="0"/>
            <wp:wrapNone/>
            <wp:docPr id="1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82380" cy="114935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4383"/>
      </w:tblGrid>
      <w:tr w:rsidR="00DF339B" w14:paraId="3DBD979B" w14:textId="77777777" w:rsidTr="00DF339B">
        <w:tc>
          <w:tcPr>
            <w:tcW w:w="7513" w:type="dxa"/>
          </w:tcPr>
          <w:p w14:paraId="496BB1BA" w14:textId="77777777" w:rsidR="00DF339B" w:rsidRDefault="00DF339B" w:rsidP="00B814FD">
            <w:pPr>
              <w:spacing w:line="480" w:lineRule="auto"/>
              <w:rPr>
                <w:b/>
                <w:bCs/>
                <w:sz w:val="22"/>
                <w:szCs w:val="22"/>
              </w:rPr>
            </w:pPr>
            <w:r>
              <w:rPr>
                <w:b/>
                <w:bCs/>
                <w:noProof/>
                <w:sz w:val="22"/>
                <w:szCs w:val="22"/>
              </w:rPr>
              <w:drawing>
                <wp:anchor distT="0" distB="0" distL="114300" distR="114300" simplePos="0" relativeHeight="251659263" behindDoc="1" locked="0" layoutInCell="1" allowOverlap="1" wp14:anchorId="69976136" wp14:editId="6F7946CE">
                  <wp:simplePos x="0" y="0"/>
                  <wp:positionH relativeFrom="column">
                    <wp:posOffset>376789</wp:posOffset>
                  </wp:positionH>
                  <wp:positionV relativeFrom="page">
                    <wp:posOffset>-146552</wp:posOffset>
                  </wp:positionV>
                  <wp:extent cx="1295400" cy="858520"/>
                  <wp:effectExtent l="0" t="0" r="0" b="0"/>
                  <wp:wrapNone/>
                  <wp:docPr id="1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858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83" w:type="dxa"/>
          </w:tcPr>
          <w:p w14:paraId="438E1B64" w14:textId="77777777" w:rsidR="00DF339B" w:rsidRDefault="00DF339B" w:rsidP="00B814FD">
            <w:pPr>
              <w:spacing w:line="480" w:lineRule="auto"/>
              <w:rPr>
                <w:b/>
                <w:bCs/>
                <w:sz w:val="22"/>
                <w:szCs w:val="22"/>
              </w:rPr>
            </w:pPr>
            <w:r w:rsidRPr="00A06CB6">
              <w:rPr>
                <w:color w:val="D9D9D9" w:themeColor="background1" w:themeShade="D9"/>
              </w:rPr>
              <w:t>Generated at 2026-01-10</w:t>
            </w:r>
          </w:p>
        </w:tc>
      </w:tr>
    </w:tbl>
    <w:p w14:paraId="2D6DEBB4" w14:textId="77777777" w:rsidR="00457DB3" w:rsidRDefault="00457DB3" w:rsidP="00B814FD">
      <w:pPr>
        <w:spacing w:line="480" w:lineRule="auto"/>
        <w:rPr>
          <w:b/>
          <w:bCs/>
          <w:sz w:val="22"/>
          <w:szCs w:val="22"/>
        </w:rPr>
      </w:pPr>
    </w:p>
    <w:p w14:paraId="6CF81C6C" w14:textId="77777777" w:rsidR="00457DB3" w:rsidRDefault="00457DB3" w:rsidP="00B814FD">
      <w:pPr>
        <w:spacing w:line="480" w:lineRule="auto"/>
        <w:rPr>
          <w:b/>
          <w:bCs/>
          <w:sz w:val="22"/>
          <w:szCs w:val="22"/>
        </w:rPr>
      </w:pPr>
    </w:p>
    <w:p w14:paraId="056758BE" w14:textId="77777777" w:rsidR="00457DB3" w:rsidRDefault="00457DB3" w:rsidP="00B814FD">
      <w:pPr>
        <w:spacing w:line="480" w:lineRule="auto"/>
        <w:rPr>
          <w:b/>
          <w:bCs/>
          <w:sz w:val="22"/>
          <w:szCs w:val="22"/>
        </w:rPr>
      </w:pPr>
    </w:p>
    <w:p w14:paraId="68C42E16" w14:textId="77777777" w:rsidR="00457DB3" w:rsidRDefault="00457DB3" w:rsidP="00B814FD">
      <w:pPr>
        <w:spacing w:line="480" w:lineRule="auto"/>
        <w:rPr>
          <w:b/>
          <w:bCs/>
          <w:sz w:val="22"/>
          <w:szCs w:val="22"/>
        </w:rPr>
      </w:pPr>
    </w:p>
    <w:p w14:paraId="4929039E" w14:textId="77777777" w:rsidR="00457DB3" w:rsidRDefault="00457DB3" w:rsidP="00B814FD">
      <w:pPr>
        <w:spacing w:line="480" w:lineRule="auto"/>
        <w:rPr>
          <w:b/>
          <w:bCs/>
          <w:sz w:val="22"/>
          <w:szCs w:val="22"/>
        </w:rPr>
      </w:pPr>
    </w:p>
    <w:p w14:paraId="457CA761" w14:textId="77777777" w:rsidR="00457DB3" w:rsidRDefault="00457DB3" w:rsidP="00B814FD">
      <w:pPr>
        <w:spacing w:line="480" w:lineRule="auto"/>
        <w:rPr>
          <w:b/>
          <w:bCs/>
          <w:sz w:val="22"/>
          <w:szCs w:val="22"/>
        </w:rPr>
      </w:pPr>
    </w:p>
    <w:p w14:paraId="5A2E0C0E" w14:textId="77777777" w:rsidR="00457DB3" w:rsidRDefault="00457DB3" w:rsidP="00B814FD">
      <w:pPr>
        <w:spacing w:line="480" w:lineRule="auto"/>
        <w:rPr>
          <w:b/>
          <w:bCs/>
          <w:sz w:val="22"/>
          <w:szCs w:val="22"/>
        </w:rPr>
      </w:pPr>
    </w:p>
    <w:p w14:paraId="33914A6E" w14:textId="77777777" w:rsidR="00457DB3" w:rsidRDefault="00457DB3" w:rsidP="00807136">
      <w:pPr>
        <w:tabs>
          <w:tab w:val="left" w:pos="4183"/>
        </w:tabs>
        <w:spacing w:line="480" w:lineRule="auto"/>
        <w:rPr>
          <w:b/>
          <w:bCs/>
          <w:sz w:val="22"/>
          <w:szCs w:val="22"/>
        </w:rPr>
      </w:pPr>
    </w:p>
    <w:p w14:paraId="67E13387" w14:textId="77777777" w:rsidR="00457DB3" w:rsidRDefault="00457DB3" w:rsidP="00687C79">
      <w:pPr>
        <w:tabs>
          <w:tab w:val="left" w:pos="3154"/>
        </w:tabs>
        <w:spacing w:line="480" w:lineRule="auto"/>
        <w:rPr>
          <w:b/>
          <w:bCs/>
          <w:sz w:val="22"/>
          <w:szCs w:val="22"/>
        </w:rPr>
      </w:pPr>
    </w:p>
    <w:p w14:paraId="4582AC84" w14:textId="77777777" w:rsidR="003C59A9" w:rsidRDefault="003C59A9" w:rsidP="00B814FD">
      <w:pPr>
        <w:spacing w:line="480" w:lineRule="auto"/>
        <w:rPr>
          <w:b/>
          <w:bCs/>
          <w:sz w:val="22"/>
          <w:szCs w:val="22"/>
        </w:rPr>
      </w:pPr>
    </w:p>
    <w:tbl>
      <w:tblPr>
        <w:tblStyle w:val="TableGrid"/>
        <w:tblpPr w:leftFromText="180" w:rightFromText="180" w:vertAnchor="text" w:horzAnchor="margin"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969"/>
        <w:gridCol w:w="5245"/>
        <w:gridCol w:w="567"/>
      </w:tblGrid>
      <w:tr w:rsidR="00510967" w:rsidRPr="00687C79" w14:paraId="4968441F" w14:textId="77777777" w:rsidTr="00510967">
        <w:trPr>
          <w:trHeight w:val="170"/>
        </w:trPr>
        <w:tc>
          <w:tcPr>
            <w:tcW w:w="851" w:type="dxa"/>
            <w:tcBorders>
              <w:bottom w:val="single" w:sz="36" w:space="0" w:color="FFFFFF" w:themeColor="background1"/>
            </w:tcBorders>
            <w:vAlign w:val="bottom"/>
          </w:tcPr>
          <w:p w14:paraId="41212210" w14:textId="77777777" w:rsidR="00510967" w:rsidRPr="00807136" w:rsidRDefault="00510967" w:rsidP="00510967">
            <w:pPr>
              <w:rPr>
                <w:rFonts w:ascii="Gilroy SemiBold" w:hAnsi="Gilroy SemiBold"/>
                <w:b/>
                <w:bCs/>
                <w:sz w:val="36"/>
                <w:szCs w:val="36"/>
              </w:rPr>
            </w:pPr>
          </w:p>
        </w:tc>
        <w:tc>
          <w:tcPr>
            <w:tcW w:w="3969" w:type="dxa"/>
            <w:tcBorders>
              <w:bottom w:val="single" w:sz="36" w:space="0" w:color="FFFFFF" w:themeColor="background1"/>
            </w:tcBorders>
            <w:vAlign w:val="bottom"/>
          </w:tcPr>
          <w:p w14:paraId="2F249F0C" w14:textId="77777777" w:rsidR="00510967" w:rsidRPr="00807136" w:rsidRDefault="00510967" w:rsidP="00510967">
            <w:pPr>
              <w:rPr>
                <w:rFonts w:ascii="Gilroy SemiBold" w:hAnsi="Gilroy SemiBold"/>
                <w:b/>
                <w:bCs/>
                <w:color w:val="FFFFFF" w:themeColor="background1"/>
                <w:sz w:val="36"/>
                <w:szCs w:val="36"/>
              </w:rPr>
            </w:pPr>
            <w:r w:rsidRPr="00807136">
              <w:rPr>
                <w:rFonts w:ascii="Gilroy SemiBold" w:hAnsi="Gilroy SemiBold"/>
                <w:b/>
                <w:bCs/>
                <w:color w:val="FFFFFF" w:themeColor="background1"/>
                <w:sz w:val="36"/>
                <w:szCs w:val="36"/>
              </w:rPr>
              <w:t>Capability Report</w:t>
            </w:r>
          </w:p>
        </w:tc>
        <w:tc>
          <w:tcPr>
            <w:tcW w:w="5812" w:type="dxa"/>
            <w:gridSpan w:val="2"/>
            <w:tcBorders>
              <w:bottom w:val="single" w:sz="36" w:space="0" w:color="FFFFFF" w:themeColor="background1"/>
            </w:tcBorders>
            <w:vAlign w:val="bottom"/>
          </w:tcPr>
          <w:p w14:paraId="2AF66408" w14:textId="77777777" w:rsidR="00510967" w:rsidRPr="00687C79" w:rsidRDefault="00510967" w:rsidP="00510967">
            <w:pPr>
              <w:jc w:val="right"/>
              <w:rPr>
                <w:rFonts w:ascii="Gilroy SemiBold" w:hAnsi="Gilroy SemiBold"/>
                <w:b/>
                <w:bCs/>
                <w:color w:val="FFFFFF" w:themeColor="background1"/>
                <w:sz w:val="40"/>
                <w:szCs w:val="40"/>
              </w:rPr>
            </w:pPr>
            <w:r w:rsidRPr="00807136">
              <w:rPr>
                <w:rFonts w:ascii="Gilroy SemiBold" w:hAnsi="Gilroy SemiBold"/>
                <w:color w:val="FFFFFF" w:themeColor="background1"/>
                <w:sz w:val="36"/>
                <w:szCs w:val="36"/>
              </w:rPr>
              <w:t>68/100</w:t>
            </w:r>
          </w:p>
        </w:tc>
      </w:tr>
      <w:tr w:rsidR="00510967" w:rsidRPr="00687C79" w14:paraId="08D6C4AE" w14:textId="77777777" w:rsidTr="00510967">
        <w:trPr>
          <w:trHeight w:val="789"/>
        </w:trPr>
        <w:tc>
          <w:tcPr>
            <w:tcW w:w="851" w:type="dxa"/>
            <w:tcBorders>
              <w:top w:val="single" w:sz="36" w:space="0" w:color="FFFFFF" w:themeColor="background1"/>
            </w:tcBorders>
            <w:vAlign w:val="center"/>
          </w:tcPr>
          <w:p w14:paraId="400A4276" w14:textId="77777777" w:rsidR="00510967" w:rsidRPr="00687C79" w:rsidRDefault="00510967" w:rsidP="00510967">
            <w:pPr>
              <w:rPr>
                <w:rFonts w:ascii="Gilroy SemiBold" w:hAnsi="Gilroy SemiBold"/>
                <w:b/>
                <w:bCs/>
                <w:sz w:val="40"/>
                <w:szCs w:val="40"/>
              </w:rPr>
            </w:pPr>
          </w:p>
        </w:tc>
        <w:tc>
          <w:tcPr>
            <w:tcW w:w="9214" w:type="dxa"/>
            <w:gridSpan w:val="2"/>
            <w:tcBorders>
              <w:top w:val="single" w:sz="36" w:space="0" w:color="FFFFFF" w:themeColor="background1"/>
            </w:tcBorders>
            <w:vAlign w:val="center"/>
          </w:tcPr>
          <w:p w14:paraId="64A4839A" w14:textId="77777777" w:rsidR="00510967" w:rsidRPr="00687C79" w:rsidRDefault="00510967" w:rsidP="00510967">
            <w:pPr>
              <w:spacing w:before="120"/>
              <w:rPr>
                <w:rFonts w:ascii="Gilroy SemiBold" w:hAnsi="Gilroy SemiBold"/>
                <w:b/>
                <w:bCs/>
                <w:color w:val="FFFFFF" w:themeColor="background1"/>
                <w:sz w:val="40"/>
                <w:szCs w:val="40"/>
              </w:rPr>
            </w:pPr>
            <w:r w:rsidRPr="00807136">
              <w:rPr>
                <w:rFonts w:ascii="Gilroy SemiBold" w:hAnsi="Gilroy SemiBold"/>
                <w:b/>
                <w:bCs/>
                <w:color w:val="FFFFFF" w:themeColor="background1"/>
                <w:sz w:val="48"/>
                <w:szCs w:val="48"/>
              </w:rPr>
              <w:t>Civic Centre Refurbishment and Community Wing Expansion</w:t>
            </w:r>
          </w:p>
        </w:tc>
        <w:tc>
          <w:tcPr>
            <w:tcW w:w="567" w:type="dxa"/>
            <w:tcBorders>
              <w:top w:val="single" w:sz="36" w:space="0" w:color="FFFFFF" w:themeColor="background1"/>
            </w:tcBorders>
            <w:vAlign w:val="bottom"/>
          </w:tcPr>
          <w:p w14:paraId="1659A9E0" w14:textId="77777777" w:rsidR="00510967" w:rsidRPr="00687C79" w:rsidRDefault="00510967" w:rsidP="00510967">
            <w:pPr>
              <w:rPr>
                <w:rFonts w:ascii="Gilroy SemiBold" w:hAnsi="Gilroy SemiBold"/>
                <w:b/>
                <w:bCs/>
                <w:color w:val="FFFFFF" w:themeColor="background1"/>
                <w:sz w:val="40"/>
                <w:szCs w:val="40"/>
              </w:rPr>
            </w:pPr>
          </w:p>
        </w:tc>
      </w:tr>
      <w:tr w:rsidR="00510967" w:rsidRPr="00687C79" w14:paraId="1318DDEE" w14:textId="77777777" w:rsidTr="00510967">
        <w:trPr>
          <w:trHeight w:val="745"/>
        </w:trPr>
        <w:tc>
          <w:tcPr>
            <w:tcW w:w="851" w:type="dxa"/>
            <w:vAlign w:val="bottom"/>
          </w:tcPr>
          <w:p w14:paraId="3243F392" w14:textId="77777777" w:rsidR="00510967" w:rsidRPr="00687C79" w:rsidRDefault="00510967" w:rsidP="00510967">
            <w:pPr>
              <w:rPr>
                <w:rFonts w:ascii="Gilroy SemiBold" w:hAnsi="Gilroy SemiBold"/>
                <w:b/>
                <w:bCs/>
                <w:sz w:val="40"/>
                <w:szCs w:val="40"/>
              </w:rPr>
            </w:pPr>
          </w:p>
        </w:tc>
        <w:tc>
          <w:tcPr>
            <w:tcW w:w="9214" w:type="dxa"/>
            <w:gridSpan w:val="2"/>
            <w:vAlign w:val="center"/>
          </w:tcPr>
          <w:p w14:paraId="73E3EFE4" w14:textId="77777777" w:rsidR="00510967" w:rsidRPr="00687C79" w:rsidRDefault="00510967" w:rsidP="00510967">
            <w:pPr>
              <w:spacing w:before="240"/>
              <w:rPr>
                <w:rFonts w:ascii="Gilroy SemiBold" w:hAnsi="Gilroy SemiBold"/>
                <w:b/>
                <w:bCs/>
                <w:color w:val="FFFFFF" w:themeColor="background1"/>
                <w:sz w:val="40"/>
                <w:szCs w:val="40"/>
              </w:rPr>
            </w:pPr>
            <w:r w:rsidRPr="00687C79">
              <w:rPr>
                <w:rFonts w:ascii="Gilroy SemiBold" w:hAnsi="Gilroy SemiBold"/>
                <w:b/>
                <w:bCs/>
                <w:color w:val="FFFFFF" w:themeColor="background1"/>
                <w:sz w:val="32"/>
                <w:szCs w:val="32"/>
              </w:rPr>
              <w:t>Green Valley Regional Council</w:t>
            </w:r>
          </w:p>
        </w:tc>
        <w:tc>
          <w:tcPr>
            <w:tcW w:w="567" w:type="dxa"/>
            <w:vAlign w:val="bottom"/>
          </w:tcPr>
          <w:p w14:paraId="0A770574" w14:textId="77777777" w:rsidR="00510967" w:rsidRPr="00687C79" w:rsidRDefault="00510967" w:rsidP="00510967">
            <w:pPr>
              <w:rPr>
                <w:rFonts w:ascii="Gilroy SemiBold" w:hAnsi="Gilroy SemiBold"/>
                <w:b/>
                <w:bCs/>
                <w:color w:val="FFFFFF" w:themeColor="background1"/>
                <w:sz w:val="40"/>
                <w:szCs w:val="40"/>
              </w:rPr>
            </w:pPr>
          </w:p>
        </w:tc>
      </w:tr>
      <w:tr w:rsidR="00510967" w:rsidRPr="00687C79" w14:paraId="463E2962" w14:textId="77777777" w:rsidTr="00510967">
        <w:tc>
          <w:tcPr>
            <w:tcW w:w="851" w:type="dxa"/>
            <w:vAlign w:val="bottom"/>
          </w:tcPr>
          <w:p w14:paraId="3C069C13" w14:textId="77777777" w:rsidR="00510967" w:rsidRPr="00687C79" w:rsidRDefault="00510967" w:rsidP="00510967">
            <w:pPr>
              <w:rPr>
                <w:b/>
                <w:bCs/>
                <w:color w:val="FFFFFF" w:themeColor="background1"/>
                <w:sz w:val="40"/>
                <w:szCs w:val="40"/>
              </w:rPr>
            </w:pPr>
          </w:p>
        </w:tc>
        <w:tc>
          <w:tcPr>
            <w:tcW w:w="9214" w:type="dxa"/>
            <w:gridSpan w:val="2"/>
            <w:vAlign w:val="bottom"/>
          </w:tcPr>
          <w:p w14:paraId="649E499C" w14:textId="77777777" w:rsidR="00510967" w:rsidRPr="00687C79" w:rsidRDefault="00510967" w:rsidP="00510967">
            <w:pPr>
              <w:spacing w:line="360" w:lineRule="auto"/>
              <w:rPr>
                <w:b/>
                <w:bCs/>
                <w:color w:val="FFFFFF" w:themeColor="background1"/>
                <w:sz w:val="20"/>
              </w:rPr>
            </w:pPr>
          </w:p>
          <w:p w14:paraId="277AD52B" w14:textId="77777777" w:rsidR="00510967" w:rsidRPr="001D25FD" w:rsidRDefault="00510967" w:rsidP="00510967">
            <w:pPr>
              <w:rPr>
                <w:color w:val="FFFFFF" w:themeColor="background1"/>
                <w:sz w:val="20"/>
              </w:rPr>
            </w:pPr>
            <w:r w:rsidRPr="00DF339B">
              <w:rPr>
                <w:color w:val="FFFFFF" w:themeColor="background1"/>
                <w:szCs w:val="21"/>
              </w:rPr>
              <w:t>The project involves the refurbishment of the existing Civic Centre and the construction of a new multi-purpose community wing, comprising demolition works, structural extension, internal fitout, building services upgrades, and associated landscaping.</w:t>
            </w:r>
          </w:p>
          <w:p w14:paraId="2E5090E3" w14:textId="77777777" w:rsidR="00510967" w:rsidRPr="001D25FD" w:rsidRDefault="00510967" w:rsidP="00510967">
            <w:pPr>
              <w:rPr>
                <w:color w:val="FFFFFF" w:themeColor="background1"/>
                <w:sz w:val="20"/>
              </w:rPr>
            </w:pPr>
          </w:p>
          <w:p w14:paraId="63D32C21" w14:textId="77777777" w:rsidR="003C59A9" w:rsidRPr="001D25FD" w:rsidRDefault="00510967" w:rsidP="003C59A9">
            <w:pPr>
              <w:rPr>
                <w:b/>
                <w:bCs/>
                <w:color w:val="FFFFFF" w:themeColor="background1"/>
                <w:sz w:val="20"/>
              </w:rPr>
            </w:pPr>
            <w:r w:rsidRPr="001D25FD">
              <w:rPr>
                <w:b/>
                <w:bCs/>
                <w:color w:val="FFFFFF" w:themeColor="background1"/>
                <w:sz w:val="20"/>
              </w:rPr>
              <w:t xml:space="preserve">Submission </w:t>
            </w:r>
            <w:r w:rsidR="003C59A9" w:rsidRPr="001D25FD">
              <w:rPr>
                <w:b/>
                <w:bCs/>
                <w:color w:val="FFFFFF" w:themeColor="background1"/>
                <w:sz w:val="20"/>
              </w:rPr>
              <w:t>d</w:t>
            </w:r>
            <w:r w:rsidRPr="001D25FD">
              <w:rPr>
                <w:b/>
                <w:bCs/>
                <w:color w:val="FFFFFF" w:themeColor="background1"/>
                <w:sz w:val="20"/>
              </w:rPr>
              <w:t>eadline:</w:t>
            </w:r>
            <w:r w:rsidRPr="001D25FD">
              <w:rPr>
                <w:color w:val="FFFFFF" w:themeColor="background1"/>
                <w:sz w:val="20"/>
              </w:rPr>
              <w:t xml:space="preserve"> 28/Feb/2026 02:00 PM (UTC+1000)</w:t>
            </w:r>
            <w:r w:rsidRPr="001D25FD">
              <w:rPr>
                <w:color w:val="FFFFFF" w:themeColor="background1"/>
                <w:sz w:val="20"/>
              </w:rPr>
              <w:br/>
            </w:r>
            <w:r w:rsidRPr="001D25FD">
              <w:rPr>
                <w:b/>
                <w:bCs/>
                <w:color w:val="FFFFFF" w:themeColor="background1"/>
                <w:sz w:val="20"/>
              </w:rPr>
              <w:t xml:space="preserve">Project </w:t>
            </w:r>
            <w:r w:rsidR="003C59A9" w:rsidRPr="001D25FD">
              <w:rPr>
                <w:b/>
                <w:bCs/>
                <w:color w:val="FFFFFF" w:themeColor="background1"/>
                <w:sz w:val="20"/>
              </w:rPr>
              <w:t>d</w:t>
            </w:r>
            <w:r w:rsidRPr="001D25FD">
              <w:rPr>
                <w:b/>
                <w:bCs/>
                <w:color w:val="FFFFFF" w:themeColor="background1"/>
                <w:sz w:val="20"/>
              </w:rPr>
              <w:t>uration:</w:t>
            </w:r>
            <w:r w:rsidRPr="001D25FD">
              <w:rPr>
                <w:color w:val="FFFFFF" w:themeColor="background1"/>
                <w:sz w:val="20"/>
              </w:rPr>
              <w:t xml:space="preserve"> 42 weeks</w:t>
            </w:r>
          </w:p>
          <w:p w14:paraId="3750DBC2" w14:textId="77777777" w:rsidR="003C59A9" w:rsidRPr="001D25FD" w:rsidRDefault="003C59A9" w:rsidP="00510967">
            <w:pPr>
              <w:rPr>
                <w:color w:val="FFFFFF" w:themeColor="background1"/>
                <w:sz w:val="20"/>
              </w:rPr>
            </w:pPr>
            <w:r w:rsidRPr="001D25FD">
              <w:rPr>
                <w:b/>
                <w:bCs/>
                <w:color w:val="FFFFFF" w:themeColor="background1"/>
                <w:sz w:val="20"/>
              </w:rPr>
              <w:t xml:space="preserve">Expected maximum fee: </w:t>
            </w:r>
            <w:r w:rsidRPr="001D25FD">
              <w:rPr>
                <w:color w:val="FFFFFF" w:themeColor="background1"/>
                <w:sz w:val="20"/>
              </w:rPr>
              <w:t>not defined</w:t>
            </w:r>
          </w:p>
          <w:p w14:paraId="340B7F4A" w14:textId="77777777" w:rsidR="003C59A9" w:rsidRPr="001D25FD" w:rsidRDefault="003C59A9" w:rsidP="003C59A9">
            <w:pPr>
              <w:rPr>
                <w:color w:val="FFFFFF" w:themeColor="background1"/>
                <w:sz w:val="20"/>
              </w:rPr>
            </w:pPr>
            <w:r w:rsidRPr="001D25FD">
              <w:rPr>
                <w:b/>
                <w:bCs/>
                <w:color w:val="FFFFFF" w:themeColor="background1"/>
                <w:sz w:val="20"/>
              </w:rPr>
              <w:t xml:space="preserve">Expected word limit: </w:t>
            </w:r>
            <w:r w:rsidRPr="001D25FD">
              <w:rPr>
                <w:color w:val="FFFFFF" w:themeColor="background1"/>
                <w:sz w:val="20"/>
              </w:rPr>
              <w:t>Specific limits apply: 300 words per project reference and 1000 words for methodology; estimated total response range 4000-6000 words.</w:t>
            </w:r>
          </w:p>
          <w:p w14:paraId="17E618AE" w14:textId="77777777" w:rsidR="00510967" w:rsidRPr="00687C79" w:rsidRDefault="00510967" w:rsidP="00510967">
            <w:pPr>
              <w:tabs>
                <w:tab w:val="right" w:pos="10490"/>
              </w:tabs>
              <w:jc w:val="both"/>
              <w:rPr>
                <w:color w:val="FFFFFF" w:themeColor="background1"/>
              </w:rPr>
            </w:pPr>
          </w:p>
        </w:tc>
        <w:tc>
          <w:tcPr>
            <w:tcW w:w="567" w:type="dxa"/>
            <w:vAlign w:val="bottom"/>
          </w:tcPr>
          <w:p w14:paraId="714D86ED" w14:textId="77777777" w:rsidR="00510967" w:rsidRPr="00687C79" w:rsidRDefault="00510967" w:rsidP="00510967">
            <w:pPr>
              <w:rPr>
                <w:b/>
                <w:bCs/>
                <w:color w:val="FFFFFF" w:themeColor="background1"/>
                <w:sz w:val="40"/>
                <w:szCs w:val="40"/>
              </w:rPr>
            </w:pPr>
          </w:p>
        </w:tc>
      </w:tr>
    </w:tbl>
    <w:p w14:paraId="59C67508" w14:textId="77777777" w:rsidR="00457DB3" w:rsidRDefault="00457DB3" w:rsidP="00B814FD">
      <w:pPr>
        <w:spacing w:line="480" w:lineRule="auto"/>
        <w:rPr>
          <w:b/>
          <w:bCs/>
          <w:sz w:val="22"/>
          <w:szCs w:val="22"/>
        </w:rPr>
      </w:pPr>
    </w:p>
    <w:p w14:paraId="2D84AB58" w14:textId="77777777" w:rsidR="007B7421" w:rsidRDefault="007B7421" w:rsidP="00B814FD">
      <w:pPr>
        <w:spacing w:line="480" w:lineRule="auto"/>
        <w:rPr>
          <w:b/>
          <w:bCs/>
          <w:sz w:val="22"/>
          <w:szCs w:val="22"/>
        </w:rPr>
      </w:pPr>
    </w:p>
    <w:p w14:paraId="55AE16F9" w14:textId="77777777" w:rsidR="00DE3443" w:rsidRDefault="00DE3443">
      <w:pPr>
        <w:rPr>
          <w:b/>
          <w:bCs/>
          <w:sz w:val="22"/>
          <w:szCs w:val="22"/>
        </w:rPr>
      </w:pPr>
      <w:r>
        <w:rPr>
          <w:b/>
          <w:bCs/>
          <w:sz w:val="22"/>
          <w:szCs w:val="22"/>
        </w:rPr>
        <w:br w:type="page"/>
      </w:r>
    </w:p>
    <w:p w14:paraId="12B43DA7" w14:textId="77777777" w:rsidR="007B7421" w:rsidRDefault="007B7421" w:rsidP="00B814FD">
      <w:pPr>
        <w:spacing w:line="480" w:lineRule="auto"/>
        <w:rPr>
          <w:b/>
          <w:bCs/>
          <w:sz w:val="22"/>
          <w:szCs w:val="22"/>
        </w:rPr>
        <w:sectPr w:rsidR="007B7421" w:rsidSect="00457DB3">
          <w:footerReference w:type="default" r:id="rId9"/>
          <w:headerReference w:type="first" r:id="rId10"/>
          <w:footerReference w:type="first" r:id="rId11"/>
          <w:pgSz w:w="11906" w:h="16838"/>
          <w:pgMar w:top="0" w:right="0" w:bottom="0" w:left="0" w:header="0" w:footer="0" w:gutter="0"/>
          <w:cols w:space="708"/>
          <w:docGrid w:linePitch="360"/>
        </w:sectPr>
      </w:pPr>
    </w:p>
    <w:p w14:paraId="27ADF86D" w14:textId="77777777" w:rsidR="009A4B1A" w:rsidRPr="00790A3E" w:rsidRDefault="00000000" w:rsidP="009A4B1A">
      <w:pPr>
        <w:pStyle w:val="Heading2"/>
      </w:pPr>
      <w:bookmarkStart w:id="0" w:name="strengths"/>
      <w:r>
        <w:lastRenderedPageBreak/>
        <w:t>Strengths</w:t>
      </w:r>
    </w:p>
    <w:p w14:paraId="58202F62" w14:textId="77777777" w:rsidR="004E2505" w:rsidRDefault="00000000">
      <w:pPr>
        <w:pStyle w:val="Compact"/>
        <w:numPr>
          <w:ilvl w:val="0"/>
          <w:numId w:val="3"/>
        </w:numPr>
      </w:pPr>
      <w:r>
        <w:rPr>
          <w:b/>
          <w:bCs/>
        </w:rPr>
        <w:t>Incumbent Knowledge and Relationships:</w:t>
      </w:r>
      <w:r>
        <w:t xml:space="preserve"> The strongest strategic advantage is Project Director Michael O’Connor’s previous delivery of the “Green Valley Civic Centre (Stage 1)” ($12M). His CV explicitly states he “maintains a strong relationship with the Council from this era”. This directly de-risks the project for the client.</w:t>
      </w:r>
    </w:p>
    <w:p w14:paraId="65C6AEDF" w14:textId="77777777" w:rsidR="004E2505" w:rsidRDefault="00000000">
      <w:pPr>
        <w:pStyle w:val="Compact"/>
        <w:numPr>
          <w:ilvl w:val="0"/>
          <w:numId w:val="3"/>
        </w:numPr>
      </w:pPr>
      <w:r>
        <w:rPr>
          <w:b/>
          <w:bCs/>
        </w:rPr>
        <w:t>Alignment with Operational Continuity:</w:t>
      </w:r>
      <w:r>
        <w:t xml:space="preserve"> The Tender specifies the adjacent Library must remain operational with strict noise constraints. Apex Horizon’s “Live Environment” experience is robust. Specifically, the “Riverside Library &amp; Digital Hub Fitout” case study demonstrates successful delivery within a functioning community hub, and the “West End Primary School” case study highlights the ability to manage safety in sensitive, occupied zones (Class A Hoarding, viewing windows).</w:t>
      </w:r>
    </w:p>
    <w:p w14:paraId="122F8CE9" w14:textId="77777777" w:rsidR="004E2505" w:rsidRDefault="00000000">
      <w:pPr>
        <w:pStyle w:val="Compact"/>
        <w:numPr>
          <w:ilvl w:val="0"/>
          <w:numId w:val="3"/>
        </w:numPr>
      </w:pPr>
      <w:r>
        <w:rPr>
          <w:b/>
          <w:bCs/>
        </w:rPr>
        <w:t>Technical Scope Match:</w:t>
      </w:r>
      <w:r>
        <w:t xml:space="preserve"> The Scope of Works requires “Commercial Kitchen” fitout and complex “Structural Steel portal frame” construction.</w:t>
      </w:r>
    </w:p>
    <w:p w14:paraId="453D8FB3" w14:textId="77777777" w:rsidR="004E2505" w:rsidRDefault="00000000">
      <w:pPr>
        <w:pStyle w:val="Compact"/>
        <w:numPr>
          <w:ilvl w:val="1"/>
          <w:numId w:val="4"/>
        </w:numPr>
      </w:pPr>
      <w:r>
        <w:rPr>
          <w:b/>
          <w:bCs/>
        </w:rPr>
        <w:t>Kitchens:</w:t>
      </w:r>
      <w:r>
        <w:t xml:space="preserve"> The “Redfern Community Centre Upgrade” (David Wu CV) and “Highland Medical Centre” (Liam Byrne CV) involved commercial kitchen and complex medical gases/hydraulics, proving capability in the required services density.</w:t>
      </w:r>
    </w:p>
    <w:p w14:paraId="65BEA3B0" w14:textId="77777777" w:rsidR="004E2505" w:rsidRDefault="00000000">
      <w:pPr>
        <w:pStyle w:val="Compact"/>
        <w:numPr>
          <w:ilvl w:val="1"/>
          <w:numId w:val="4"/>
        </w:numPr>
      </w:pPr>
      <w:r>
        <w:rPr>
          <w:b/>
          <w:bCs/>
        </w:rPr>
        <w:t>Steel:</w:t>
      </w:r>
      <w:r>
        <w:t xml:space="preserve"> The “Ashfield Aquatic Centre” (David Wu/Liam Byrne CVs) involved structural steel extension, and the “Bunnings Warehouse” (David Wu CV) proves industrial portal frame competency.</w:t>
      </w:r>
    </w:p>
    <w:p w14:paraId="5D9A72B9" w14:textId="77777777" w:rsidR="004E2505" w:rsidRDefault="00000000">
      <w:pPr>
        <w:pStyle w:val="Compact"/>
        <w:numPr>
          <w:ilvl w:val="0"/>
          <w:numId w:val="3"/>
        </w:numPr>
      </w:pPr>
      <w:r>
        <w:rPr>
          <w:b/>
          <w:bCs/>
        </w:rPr>
        <w:t>Financial Stability:</w:t>
      </w:r>
      <w:r>
        <w:t xml:space="preserve"> The company turnover ($65M) significantly exceeds the estimated project value (~$12M based on similar projects). The “unconditional bank guarantees” and “zero debt” status align with the security requirements of Clause 1.2.</w:t>
      </w:r>
    </w:p>
    <w:p w14:paraId="0930109B" w14:textId="77777777" w:rsidR="004E2505" w:rsidRDefault="00000000">
      <w:pPr>
        <w:pStyle w:val="Compact"/>
        <w:numPr>
          <w:ilvl w:val="0"/>
          <w:numId w:val="3"/>
        </w:numPr>
      </w:pPr>
      <w:r>
        <w:rPr>
          <w:b/>
          <w:bCs/>
        </w:rPr>
        <w:t>Safety Performance:</w:t>
      </w:r>
      <w:r>
        <w:t xml:space="preserve"> The RFT requests the LTI Frequency Rate. The Company Profile and Annual Safety Audit Report 2024 confirm an LTI rate of 0.0, which will score highly in the WHS component of Volume 2.</w:t>
      </w:r>
    </w:p>
    <w:p w14:paraId="13F9C548" w14:textId="77777777" w:rsidR="004E2505" w:rsidRDefault="00000000">
      <w:pPr>
        <w:pStyle w:val="Heading2"/>
      </w:pPr>
      <w:bookmarkStart w:id="1" w:name="limitations"/>
      <w:bookmarkEnd w:id="0"/>
      <w:r>
        <w:t>Limitations</w:t>
      </w:r>
    </w:p>
    <w:p w14:paraId="70120CC2" w14:textId="77777777" w:rsidR="004E2505" w:rsidRDefault="00000000">
      <w:pPr>
        <w:pStyle w:val="Compact"/>
        <w:numPr>
          <w:ilvl w:val="0"/>
          <w:numId w:val="5"/>
        </w:numPr>
      </w:pPr>
      <w:r>
        <w:rPr>
          <w:b/>
          <w:bCs/>
        </w:rPr>
        <w:t>Insurance Discrepancy:</w:t>
      </w:r>
      <w:r>
        <w:t xml:space="preserve"> The Tender strictly requires “Public Liability Insurance (Minimum $20 Million)”. While the Company Profile text claims $20M coverage, the specific Insurance Information provided in the company details lists the Liability Insurer aggregate at only $2,000,000 (2000000). This is a critical gap of $18M that would lead to immediate disqualification under Mandatory Requirements if the footer data is the current valid certificate.</w:t>
      </w:r>
    </w:p>
    <w:p w14:paraId="7F8051C1" w14:textId="77777777" w:rsidR="004E2505" w:rsidRDefault="00000000">
      <w:pPr>
        <w:pStyle w:val="Compact"/>
        <w:numPr>
          <w:ilvl w:val="0"/>
          <w:numId w:val="5"/>
        </w:numPr>
      </w:pPr>
      <w:r>
        <w:rPr>
          <w:b/>
          <w:bCs/>
        </w:rPr>
        <w:t>Criteria Threshold Gap (Experience):</w:t>
      </w:r>
      <w:r>
        <w:t xml:space="preserve"> The Selection Criteria requires “comparable projects completed in the last 5 years” with a value “&gt;$5M”.</w:t>
      </w:r>
    </w:p>
    <w:p w14:paraId="78CD4CE0" w14:textId="77777777" w:rsidR="004E2505" w:rsidRDefault="00000000">
      <w:pPr>
        <w:pStyle w:val="Compact"/>
        <w:numPr>
          <w:ilvl w:val="1"/>
          <w:numId w:val="6"/>
        </w:numPr>
      </w:pPr>
      <w:r>
        <w:t>The “Riverside Library” project is the most functionally similar (Civic/Library) but is valued at $4.2M, falling short of the $5M mandatory weighting threshold.</w:t>
      </w:r>
    </w:p>
    <w:p w14:paraId="770B1FA3" w14:textId="77777777" w:rsidR="004E2505" w:rsidRDefault="00000000">
      <w:pPr>
        <w:pStyle w:val="Compact"/>
        <w:numPr>
          <w:ilvl w:val="1"/>
          <w:numId w:val="6"/>
        </w:numPr>
      </w:pPr>
      <w:r>
        <w:t>The “Green Valley Civic Centre (Stage 1)” is valued at $12M, but was completed in 2015 (Michael O’Connor CV), which is outside the “last 5 years” window (2021-2026).</w:t>
      </w:r>
    </w:p>
    <w:p w14:paraId="00C9B092" w14:textId="77777777" w:rsidR="004E2505" w:rsidRDefault="00000000">
      <w:pPr>
        <w:pStyle w:val="Compact"/>
        <w:numPr>
          <w:ilvl w:val="1"/>
          <w:numId w:val="6"/>
        </w:numPr>
      </w:pPr>
      <w:r>
        <w:t>This leaves the company relying on “West End Primary” ($5.5M) and “Highland Medical” ($6.8M) to meet the value threshold, neither of which are strictly “Civic” projects, potentially reducing the score for Experience &amp; Capability (25%).</w:t>
      </w:r>
    </w:p>
    <w:p w14:paraId="54878A5C" w14:textId="77777777" w:rsidR="004E2505" w:rsidRDefault="00000000">
      <w:pPr>
        <w:pStyle w:val="Compact"/>
        <w:numPr>
          <w:ilvl w:val="0"/>
          <w:numId w:val="5"/>
        </w:numPr>
      </w:pPr>
      <w:r>
        <w:rPr>
          <w:b/>
          <w:bCs/>
        </w:rPr>
        <w:t>Geographic Constraints:</w:t>
      </w:r>
      <w:r>
        <w:t xml:space="preserve"> The Tender allocates 5% weighting to “Local Industry Participation” (within 50km). Apex Horizon is based in “Metro City”, while the client is “Green Valley Regional Council”. Unless these locations are adjacent, Apex lacks a natural local advantage compared to a locally based builder.</w:t>
      </w:r>
    </w:p>
    <w:p w14:paraId="6ED3C389" w14:textId="77777777" w:rsidR="004E2505" w:rsidRDefault="00000000">
      <w:pPr>
        <w:pStyle w:val="Heading2"/>
      </w:pPr>
      <w:bookmarkStart w:id="2" w:name="bid-strategy"/>
      <w:bookmarkEnd w:id="1"/>
      <w:r>
        <w:t>Bid Strategy</w:t>
      </w:r>
    </w:p>
    <w:p w14:paraId="4D015B73" w14:textId="77777777" w:rsidR="004E2505" w:rsidRDefault="00000000">
      <w:pPr>
        <w:pStyle w:val="Compact"/>
        <w:numPr>
          <w:ilvl w:val="0"/>
          <w:numId w:val="7"/>
        </w:numPr>
      </w:pPr>
      <w:r>
        <w:rPr>
          <w:b/>
          <w:bCs/>
        </w:rPr>
        <w:t>Leverage the ‘Stage 1’ Legacy:</w:t>
      </w:r>
      <w:r>
        <w:t xml:space="preserve"> Despite the Stage 1 completion date falling outside the 5-year window, feature it prominently in the Executive Summary and Methodology. Frame it not just as a past project, but as proof of intimate site knowledge (ground conditions, stakeholder preferences) that no other bidder possesses.</w:t>
      </w:r>
    </w:p>
    <w:p w14:paraId="481E2E35" w14:textId="77777777" w:rsidR="004E2505" w:rsidRDefault="00000000">
      <w:pPr>
        <w:pStyle w:val="Compact"/>
        <w:numPr>
          <w:ilvl w:val="0"/>
          <w:numId w:val="7"/>
        </w:numPr>
      </w:pPr>
      <w:r>
        <w:rPr>
          <w:b/>
          <w:bCs/>
        </w:rPr>
        <w:t>Address the Insurance Gap:</w:t>
      </w:r>
      <w:r>
        <w:t xml:space="preserve"> Immediately rectify the Public Liability limit. The bid must include a Certificate of Currency showing $20M. If the current policy is $2M, a letter from the broker confirming an upgrade to $20M upon contract award is required to pass the Mandatory Requirements.</w:t>
      </w:r>
    </w:p>
    <w:p w14:paraId="48DF8284" w14:textId="77777777" w:rsidR="004E2505" w:rsidRDefault="00000000">
      <w:pPr>
        <w:pStyle w:val="Compact"/>
        <w:numPr>
          <w:ilvl w:val="0"/>
          <w:numId w:val="7"/>
        </w:numPr>
      </w:pPr>
      <w:r>
        <w:rPr>
          <w:b/>
          <w:bCs/>
        </w:rPr>
        <w:t>Bridge the Experience Gap:</w:t>
      </w:r>
    </w:p>
    <w:p w14:paraId="419EE4EF" w14:textId="77777777" w:rsidR="004E2505" w:rsidRDefault="00000000">
      <w:pPr>
        <w:pStyle w:val="Compact"/>
        <w:numPr>
          <w:ilvl w:val="1"/>
          <w:numId w:val="8"/>
        </w:numPr>
      </w:pPr>
      <w:r>
        <w:t>Position “West End Primary” ($5.5M) as “Civic Infrastructure within an Education setting” to satisfy the value threshold.</w:t>
      </w:r>
    </w:p>
    <w:p w14:paraId="07C17CA5" w14:textId="77777777" w:rsidR="004E2505" w:rsidRDefault="00000000">
      <w:pPr>
        <w:pStyle w:val="Compact"/>
        <w:numPr>
          <w:ilvl w:val="1"/>
          <w:numId w:val="8"/>
        </w:numPr>
      </w:pPr>
      <w:r>
        <w:t>Group the “Riverside Library” ($4.2M) as a “highly relevant technical reference” despite being under the value threshold, arguing that the complexity density (digital hub, acoustics) outweighs the lower dollar value.</w:t>
      </w:r>
    </w:p>
    <w:p w14:paraId="24D774EC" w14:textId="77777777" w:rsidR="004E2505" w:rsidRDefault="00000000">
      <w:pPr>
        <w:pStyle w:val="Compact"/>
        <w:numPr>
          <w:ilvl w:val="0"/>
          <w:numId w:val="7"/>
        </w:numPr>
      </w:pPr>
      <w:r>
        <w:rPr>
          <w:b/>
          <w:bCs/>
        </w:rPr>
        <w:t>Team Configuration:</w:t>
      </w:r>
    </w:p>
    <w:p w14:paraId="78AD574D" w14:textId="77777777" w:rsidR="004E2505" w:rsidRDefault="00000000">
      <w:pPr>
        <w:pStyle w:val="Compact"/>
        <w:numPr>
          <w:ilvl w:val="1"/>
          <w:numId w:val="9"/>
        </w:numPr>
      </w:pPr>
      <w:r>
        <w:t xml:space="preserve">Nominate </w:t>
      </w:r>
      <w:r>
        <w:rPr>
          <w:b/>
          <w:bCs/>
        </w:rPr>
        <w:t>David Wu</w:t>
      </w:r>
      <w:r>
        <w:t xml:space="preserve"> as Project Manager due to his specific “Redfern Community Centre” and “Live Environment” experience.</w:t>
      </w:r>
    </w:p>
    <w:p w14:paraId="2CFB0F72" w14:textId="77777777" w:rsidR="004E2505" w:rsidRDefault="00000000">
      <w:pPr>
        <w:pStyle w:val="Compact"/>
        <w:numPr>
          <w:ilvl w:val="1"/>
          <w:numId w:val="9"/>
        </w:numPr>
      </w:pPr>
      <w:r>
        <w:lastRenderedPageBreak/>
        <w:t xml:space="preserve">Nominate </w:t>
      </w:r>
      <w:r>
        <w:rPr>
          <w:b/>
          <w:bCs/>
        </w:rPr>
        <w:t>Emma Thompson</w:t>
      </w:r>
      <w:r>
        <w:t xml:space="preserve"> as the Site Manager/Foreman. Her background in “Heritage restoration” (North Sydney Fire Station) is crucial for the “Old Oak” protection and heritage proximity noted in the Scope of Works.</w:t>
      </w:r>
    </w:p>
    <w:p w14:paraId="368C669A" w14:textId="77777777" w:rsidR="004E2505" w:rsidRDefault="00000000">
      <w:pPr>
        <w:pStyle w:val="Compact"/>
        <w:numPr>
          <w:ilvl w:val="0"/>
          <w:numId w:val="7"/>
        </w:numPr>
      </w:pPr>
      <w:r>
        <w:rPr>
          <w:b/>
          <w:bCs/>
        </w:rPr>
        <w:t>Local Industry Plan:</w:t>
      </w:r>
      <w:r>
        <w:t xml:space="preserve"> To capture the 5% local weighting, explicitly commit to using the “Green Valley Joinery” mentioned in the </w:t>
      </w:r>
      <w:r>
        <w:rPr>
          <w:i/>
          <w:iCs/>
        </w:rPr>
        <w:t>Northside Community Library</w:t>
      </w:r>
      <w:r>
        <w:t xml:space="preserve"> proposal context. Frame this as “continuing established local partnerships” rather than starting from scratch.</w:t>
      </w:r>
    </w:p>
    <w:p w14:paraId="4348E1C9" w14:textId="77777777" w:rsidR="004E2505" w:rsidRDefault="00000000">
      <w:pPr>
        <w:pStyle w:val="Heading2"/>
      </w:pPr>
      <w:bookmarkStart w:id="3" w:name="criteria-analysis"/>
      <w:bookmarkEnd w:id="2"/>
      <w:r>
        <w:t>Criteria Analysis</w:t>
      </w:r>
    </w:p>
    <w:p w14:paraId="5E0AAC91" w14:textId="77777777" w:rsidR="004E2505" w:rsidRDefault="00000000">
      <w:pPr>
        <w:pStyle w:val="Compact"/>
        <w:numPr>
          <w:ilvl w:val="0"/>
          <w:numId w:val="10"/>
        </w:numPr>
      </w:pPr>
      <w:r>
        <w:rPr>
          <w:b/>
          <w:bCs/>
        </w:rPr>
        <w:t>Mandatory Requirement 1: Building Licence:</w:t>
      </w:r>
      <w:r>
        <w:t xml:space="preserve"> “Possession of a valid Building Licence (Open Class).”</w:t>
      </w:r>
    </w:p>
    <w:p w14:paraId="5A8B1AA1" w14:textId="77777777" w:rsidR="004E2505" w:rsidRDefault="00000000">
      <w:pPr>
        <w:pStyle w:val="Compact"/>
        <w:numPr>
          <w:ilvl w:val="1"/>
          <w:numId w:val="11"/>
        </w:numPr>
      </w:pPr>
      <w:r>
        <w:rPr>
          <w:b/>
          <w:bCs/>
        </w:rPr>
        <w:t>Status:</w:t>
      </w:r>
      <w:r>
        <w:t xml:space="preserve"> </w:t>
      </w:r>
      <w:r>
        <w:rPr>
          <w:b/>
          <w:bCs/>
        </w:rPr>
        <w:t>Met.</w:t>
      </w:r>
      <w:r>
        <w:t xml:space="preserve"> Profile confirms Licence 109283C (Open Class).</w:t>
      </w:r>
    </w:p>
    <w:p w14:paraId="2589782B" w14:textId="77777777" w:rsidR="004E2505" w:rsidRDefault="00000000">
      <w:pPr>
        <w:pStyle w:val="Compact"/>
        <w:numPr>
          <w:ilvl w:val="0"/>
          <w:numId w:val="10"/>
        </w:numPr>
      </w:pPr>
      <w:r>
        <w:rPr>
          <w:b/>
          <w:bCs/>
        </w:rPr>
        <w:t>Mandatory Requirement 2: Insurance:</w:t>
      </w:r>
      <w:r>
        <w:t xml:space="preserve"> “Evidence of Public Liability Insurance (Minimum $20 Million).”</w:t>
      </w:r>
    </w:p>
    <w:p w14:paraId="25D3CFC2" w14:textId="77777777" w:rsidR="004E2505" w:rsidRDefault="00000000">
      <w:pPr>
        <w:pStyle w:val="Compact"/>
        <w:numPr>
          <w:ilvl w:val="1"/>
          <w:numId w:val="12"/>
        </w:numPr>
      </w:pPr>
      <w:r>
        <w:rPr>
          <w:b/>
          <w:bCs/>
        </w:rPr>
        <w:t>Status:</w:t>
      </w:r>
      <w:r>
        <w:t xml:space="preserve"> </w:t>
      </w:r>
      <w:r>
        <w:rPr>
          <w:b/>
          <w:bCs/>
        </w:rPr>
        <w:t>Risk.</w:t>
      </w:r>
      <w:r>
        <w:t xml:space="preserve"> Data provided indicates a $2,000,000 limit. This must be increased to $20,000,000 to avoid disqualification.</w:t>
      </w:r>
    </w:p>
    <w:p w14:paraId="49D5F98D" w14:textId="77777777" w:rsidR="004E2505" w:rsidRDefault="00000000">
      <w:pPr>
        <w:pStyle w:val="Compact"/>
        <w:numPr>
          <w:ilvl w:val="0"/>
          <w:numId w:val="10"/>
        </w:numPr>
      </w:pPr>
      <w:r>
        <w:rPr>
          <w:b/>
          <w:bCs/>
        </w:rPr>
        <w:t>Mandatory Requirement 5: Site Inspection:</w:t>
      </w:r>
      <w:r>
        <w:t xml:space="preserve"> “Attendance at the Mandatory Site Inspection on 20 January 2026.”</w:t>
      </w:r>
    </w:p>
    <w:p w14:paraId="30D37947" w14:textId="77777777" w:rsidR="004E2505" w:rsidRDefault="00000000">
      <w:pPr>
        <w:pStyle w:val="Compact"/>
        <w:numPr>
          <w:ilvl w:val="1"/>
          <w:numId w:val="13"/>
        </w:numPr>
      </w:pPr>
      <w:r>
        <w:rPr>
          <w:b/>
          <w:bCs/>
        </w:rPr>
        <w:t>Status:</w:t>
      </w:r>
      <w:r>
        <w:t xml:space="preserve"> </w:t>
      </w:r>
      <w:r>
        <w:rPr>
          <w:b/>
          <w:bCs/>
        </w:rPr>
        <w:t>Action Required.</w:t>
      </w:r>
      <w:r>
        <w:t xml:space="preserve"> This date is in the future relative to the tender document date. David Wu and Emma Thompson must attend to sign the register.</w:t>
      </w:r>
    </w:p>
    <w:p w14:paraId="3BE07794" w14:textId="77777777" w:rsidR="004E2505" w:rsidRDefault="00000000">
      <w:pPr>
        <w:pStyle w:val="Compact"/>
        <w:numPr>
          <w:ilvl w:val="0"/>
          <w:numId w:val="10"/>
        </w:numPr>
      </w:pPr>
      <w:r>
        <w:rPr>
          <w:b/>
          <w:bCs/>
        </w:rPr>
        <w:t>Selection Criteria: Experience (&gt;25%):</w:t>
      </w:r>
      <w:r>
        <w:t xml:space="preserve"> “Demonstrated experience in similar civic projects &gt;$5M.”</w:t>
      </w:r>
    </w:p>
    <w:p w14:paraId="2D5839FD" w14:textId="77777777" w:rsidR="004E2505" w:rsidRDefault="00000000">
      <w:pPr>
        <w:pStyle w:val="Compact"/>
        <w:numPr>
          <w:ilvl w:val="1"/>
          <w:numId w:val="14"/>
        </w:numPr>
      </w:pPr>
      <w:r>
        <w:rPr>
          <w:b/>
          <w:bCs/>
        </w:rPr>
        <w:t>Analysis:</w:t>
      </w:r>
      <w:r>
        <w:t xml:space="preserve"> Strict compliance is difficult. The company has high-value Health/Education projects, or lower-value Civic projects (Riverside $4.2M). The bid must argue that the $5.5M STEM Precinct (West End) functions as a community asset to meet the “&gt;$5M” and “Civic” intersection.</w:t>
      </w:r>
    </w:p>
    <w:p w14:paraId="2CB574DB" w14:textId="77777777" w:rsidR="004E2505" w:rsidRDefault="00000000">
      <w:pPr>
        <w:pStyle w:val="Compact"/>
        <w:numPr>
          <w:ilvl w:val="0"/>
          <w:numId w:val="10"/>
        </w:numPr>
      </w:pPr>
      <w:r>
        <w:rPr>
          <w:b/>
          <w:bCs/>
        </w:rPr>
        <w:t>Selection Criteria: Local Industry (5%):</w:t>
      </w:r>
      <w:r>
        <w:t xml:space="preserve"> “Commitment to using local subcontractors and suppliers (within 50km radius).”</w:t>
      </w:r>
    </w:p>
    <w:p w14:paraId="4850B626" w14:textId="77777777" w:rsidR="004E2505" w:rsidRDefault="00000000">
      <w:pPr>
        <w:pStyle w:val="Compact"/>
        <w:numPr>
          <w:ilvl w:val="1"/>
          <w:numId w:val="15"/>
        </w:numPr>
      </w:pPr>
      <w:r>
        <w:rPr>
          <w:b/>
          <w:bCs/>
        </w:rPr>
        <w:t>Analysis:</w:t>
      </w:r>
      <w:r>
        <w:t xml:space="preserve"> As a Metro City builder, Apex is at a disadvantage. The bid must provide a concrete “Local Participation Plan” with signed Letters of Intent from Green Valley suppliers (e.g., Green Valley Joinery) to score points here.</w:t>
      </w:r>
    </w:p>
    <w:bookmarkEnd w:id="3"/>
    <w:p w14:paraId="5B68994F" w14:textId="77777777" w:rsidR="009A4B1A" w:rsidRPr="00790A3E" w:rsidRDefault="009A4B1A" w:rsidP="009A4B1A"/>
    <w:p w14:paraId="56CE4CCE" w14:textId="77777777" w:rsidR="00790A3E" w:rsidRPr="00790A3E" w:rsidRDefault="00790A3E" w:rsidP="00790A3E">
      <w:pPr>
        <w:rPr>
          <w:b/>
          <w:bCs/>
          <w:color w:val="812A16"/>
        </w:rPr>
      </w:pPr>
      <w:r w:rsidRPr="00790A3E">
        <w:rPr>
          <w:b/>
          <w:bCs/>
          <w:color w:val="812A16"/>
        </w:rPr>
        <w:t>Submission instructions:</w:t>
      </w:r>
    </w:p>
    <w:p w14:paraId="43656443" w14:textId="7AC2805D" w:rsidR="00790A3E" w:rsidRPr="00790A3E" w:rsidRDefault="00790A3E" w:rsidP="00790A3E">
      <w:r w:rsidRPr="00790A3E">
        <w:t>Tenders must be lodged electronically via the Council’s Tender Portal. Submissions must be compiled into three volumes: Commercial Offer, Technical Response, and Supporting Documentation. Mandatory requirements include a valid Building Licence, Public Liability Insurance ($20M), Workers Compensation, and attendance at the mandatory site inspection.</w:t>
      </w:r>
    </w:p>
    <w:p w14:paraId="23C4279F" w14:textId="77777777" w:rsidR="00790A3E" w:rsidRPr="00790A3E" w:rsidRDefault="00790A3E" w:rsidP="00790A3E">
      <w:pPr>
        <w:rPr>
          <w:b/>
          <w:bCs/>
          <w:color w:val="812A16"/>
        </w:rPr>
      </w:pPr>
      <w:r w:rsidRPr="00790A3E">
        <w:rPr>
          <w:b/>
          <w:bCs/>
          <w:color w:val="812A16"/>
        </w:rPr>
        <w:t>Submission documents:</w:t>
      </w:r>
    </w:p>
    <w:p w14:paraId="3730CAF7" w14:textId="77777777" w:rsidR="00790A3E" w:rsidRPr="00790A3E" w:rsidRDefault="00790A3E" w:rsidP="00790A3E">
      <w:r w:rsidRPr="00790A3E">
        <w:t>Completed Returnable Schedules (Tender Form, Non-Price Criteria, Pricing Breakdown), Volume 1 (Commercial Offer), Volume 2 (Technical Response), Volume 3 (Supporting Documentation), detailed Bill of Quantities (BOQ), construction program (Gantt chart), and Curricula Vitae (CVs).</w:t>
      </w:r>
    </w:p>
    <w:p w14:paraId="65E73527" w14:textId="77777777" w:rsidR="00790A3E" w:rsidRPr="00790A3E" w:rsidRDefault="00790A3E" w:rsidP="00790A3E">
      <w:pPr>
        <w:rPr>
          <w:b/>
          <w:bCs/>
          <w:color w:val="812A16"/>
        </w:rPr>
      </w:pPr>
      <w:r w:rsidRPr="00790A3E">
        <w:rPr>
          <w:b/>
          <w:bCs/>
          <w:color w:val="812A16"/>
        </w:rPr>
        <w:t>Documents excluded from analysis (too long or not able to be converted):</w:t>
      </w:r>
    </w:p>
    <w:p w14:paraId="2E75AC15" w14:textId="23F55C50" w:rsidR="00610A16" w:rsidRPr="00610A16" w:rsidRDefault="00790A3E" w:rsidP="00121BEF">
      <w:pPr>
        <w:tabs>
          <w:tab w:val="left" w:pos="6660"/>
        </w:tabs>
      </w:pPr>
      <w:r w:rsidRPr="00790A3E">
        <w:t>None</w:t>
      </w:r>
    </w:p>
    <w:p w14:paraId="73577519" w14:textId="77777777" w:rsidR="00610A16" w:rsidRPr="00610A16" w:rsidRDefault="00610A16" w:rsidP="00610A16"/>
    <w:p w14:paraId="7D342741" w14:textId="77777777" w:rsidR="00610A16" w:rsidRPr="00610A16" w:rsidRDefault="00610A16" w:rsidP="00610A16"/>
    <w:p w14:paraId="54D2ED76" w14:textId="77777777" w:rsidR="00610A16" w:rsidRPr="00610A16" w:rsidRDefault="00610A16" w:rsidP="00610A16"/>
    <w:p w14:paraId="3AECA3A8" w14:textId="77777777" w:rsidR="00610A16" w:rsidRPr="00610A16" w:rsidRDefault="00610A16" w:rsidP="00610A16"/>
    <w:p w14:paraId="234F2B11" w14:textId="77777777" w:rsidR="00610A16" w:rsidRPr="00610A16" w:rsidRDefault="00610A16" w:rsidP="00610A16"/>
    <w:p w14:paraId="2F33E625" w14:textId="77777777" w:rsidR="00610A16" w:rsidRPr="00610A16" w:rsidRDefault="00610A16" w:rsidP="00610A16">
      <w:pPr>
        <w:tabs>
          <w:tab w:val="left" w:pos="2304"/>
        </w:tabs>
      </w:pPr>
      <w:r>
        <w:tab/>
      </w:r>
    </w:p>
    <w:sectPr w:rsidR="00610A16" w:rsidRPr="00610A16" w:rsidSect="00610A16">
      <w:footerReference w:type="default" r:id="rId12"/>
      <w:pgSz w:w="11906" w:h="16838"/>
      <w:pgMar w:top="1134" w:right="720" w:bottom="720" w:left="720"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06CA5" w14:textId="77777777" w:rsidR="00322D29" w:rsidRDefault="00322D29" w:rsidP="00141C8F">
      <w:pPr>
        <w:spacing w:after="0" w:line="240" w:lineRule="auto"/>
      </w:pPr>
      <w:r>
        <w:separator/>
      </w:r>
    </w:p>
  </w:endnote>
  <w:endnote w:type="continuationSeparator" w:id="0">
    <w:p w14:paraId="6116E173" w14:textId="77777777" w:rsidR="00322D29" w:rsidRDefault="00322D29" w:rsidP="0014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Gilroy SemiBold">
    <w:panose1 w:val="00000700000000000000"/>
    <w:charset w:val="00"/>
    <w:family w:val="modern"/>
    <w:notTrueType/>
    <w:pitch w:val="variable"/>
    <w:sig w:usb0="00000207" w:usb1="00000000" w:usb2="00000000" w:usb3="00000000" w:csb0="000000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2C7E" w14:textId="4F8B096C" w:rsidR="00B209E6" w:rsidRPr="00790A3E" w:rsidRDefault="0089608C" w:rsidP="004E073E">
    <w:pPr>
      <w:tabs>
        <w:tab w:val="right" w:pos="10490"/>
      </w:tabs>
      <w:rPr>
        <w:rFonts w:ascii="Gilroy SemiBold" w:hAnsi="Gilroy SemiBold"/>
        <w:sz w:val="20"/>
      </w:rPr>
    </w:pPr>
    <w:r w:rsidRPr="00790A3E">
      <w:rPr>
        <w:rFonts w:ascii="Gilroy SemiBold" w:hAnsi="Gilroy SemiBold"/>
        <w:sz w:val="20"/>
      </w:rPr>
      <w:t>*Ratings are indicative and for reference only.</w:t>
    </w:r>
    <w:r w:rsidR="004E073E" w:rsidRPr="00790A3E">
      <w:rPr>
        <w:rFonts w:ascii="Gilroy SemiBold" w:hAnsi="Gilroy SemiBold"/>
        <w:sz w:val="20"/>
      </w:rPr>
      <w:tab/>
    </w:r>
    <w:r w:rsidR="00B209E6" w:rsidRPr="00790A3E">
      <w:rPr>
        <w:rFonts w:ascii="Gilroy SemiBold" w:hAnsi="Gilroy SemiBold"/>
        <w:sz w:val="20"/>
      </w:rPr>
      <w:fldChar w:fldCharType="begin"/>
    </w:r>
    <w:r w:rsidR="00B209E6" w:rsidRPr="00790A3E">
      <w:rPr>
        <w:rFonts w:ascii="Gilroy SemiBold" w:hAnsi="Gilroy SemiBold"/>
        <w:sz w:val="20"/>
      </w:rPr>
      <w:instrText xml:space="preserve"> PAGE  \* Arabic  \* MERGEFORMAT </w:instrText>
    </w:r>
    <w:r w:rsidR="00B209E6" w:rsidRPr="00790A3E">
      <w:rPr>
        <w:rFonts w:ascii="Gilroy SemiBold" w:hAnsi="Gilroy SemiBold"/>
        <w:sz w:val="20"/>
      </w:rPr>
      <w:fldChar w:fldCharType="separate"/>
    </w:r>
    <w:r w:rsidR="00B209E6" w:rsidRPr="00790A3E">
      <w:rPr>
        <w:rFonts w:ascii="Gilroy SemiBold" w:hAnsi="Gilroy SemiBold"/>
        <w:sz w:val="20"/>
      </w:rPr>
      <w:t>1</w:t>
    </w:r>
    <w:r w:rsidR="00B209E6" w:rsidRPr="00790A3E">
      <w:rPr>
        <w:rFonts w:ascii="Gilroy SemiBold" w:hAnsi="Gilroy SemiBold"/>
        <w:sz w:val="20"/>
      </w:rPr>
      <w:fldChar w:fldCharType="end"/>
    </w:r>
    <w:r w:rsidR="00B209E6" w:rsidRPr="00790A3E">
      <w:rPr>
        <w:rFonts w:ascii="Gilroy SemiBold" w:hAnsi="Gilroy SemiBold"/>
        <w:sz w:val="20"/>
      </w:rPr>
      <w:t xml:space="preserve"> of </w:t>
    </w:r>
    <w:r w:rsidR="002F5518" w:rsidRPr="00790A3E">
      <w:rPr>
        <w:rFonts w:ascii="Gilroy SemiBold" w:hAnsi="Gilroy SemiBold"/>
        <w:sz w:val="20"/>
      </w:rPr>
      <w:fldChar w:fldCharType="begin"/>
    </w:r>
    <w:r w:rsidR="002F5518" w:rsidRPr="00790A3E">
      <w:rPr>
        <w:rFonts w:ascii="Gilroy SemiBold" w:hAnsi="Gilroy SemiBold"/>
        <w:sz w:val="20"/>
      </w:rPr>
      <w:instrText xml:space="preserve"> SECTIONPAGES  \* Arabic  \* MERGEFORMAT </w:instrText>
    </w:r>
    <w:r w:rsidR="002F5518" w:rsidRPr="00790A3E">
      <w:rPr>
        <w:rFonts w:ascii="Gilroy SemiBold" w:hAnsi="Gilroy SemiBold"/>
        <w:sz w:val="20"/>
      </w:rPr>
      <w:fldChar w:fldCharType="separate"/>
    </w:r>
    <w:r w:rsidR="00121BEF">
      <w:rPr>
        <w:rFonts w:ascii="Gilroy SemiBold" w:hAnsi="Gilroy SemiBold"/>
        <w:noProof/>
        <w:sz w:val="20"/>
      </w:rPr>
      <w:t>1</w:t>
    </w:r>
    <w:r w:rsidR="002F5518" w:rsidRPr="00790A3E">
      <w:rPr>
        <w:rFonts w:ascii="Gilroy SemiBold" w:hAnsi="Gilroy SemiBold"/>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C7D" w14:textId="77777777" w:rsidR="00B3531C" w:rsidRDefault="00B3531C">
    <w:pPr>
      <w:pStyle w:val="Footer"/>
    </w:pPr>
    <w:r>
      <w:t xml:space="preserve">BIDLOGIQ </w:t>
    </w:r>
    <w:r w:rsidR="00FB2471">
      <w:t>CAPABILITY ANALYSIS,</w:t>
    </w:r>
    <w:r>
      <w:t xml:space="preserve"> generated 2026-01-10</w:t>
    </w:r>
    <w:r>
      <w:tab/>
    </w:r>
    <w:r>
      <w:tab/>
    </w:r>
    <w:r>
      <w:fldChar w:fldCharType="begin"/>
    </w:r>
    <w:r>
      <w:instrText xml:space="preserve"> PAGE  \* Arabic  \* MERGEFORMAT </w:instrText>
    </w:r>
    <w:r>
      <w:fldChar w:fldCharType="separate"/>
    </w:r>
    <w:r>
      <w:rPr>
        <w:noProof/>
      </w:rPr>
      <w:t>1</w:t>
    </w:r>
    <w:r>
      <w:fldChar w:fldCharType="end"/>
    </w:r>
    <w:r>
      <w:t xml:space="preserve"> of </w:t>
    </w:r>
    <w:fldSimple w:instr=" SECTIONPAGES  \* Arabic  \* MERGEFORMAT ">
      <w:r w:rsidR="00B209E6">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127578"/>
      <w:docPartObj>
        <w:docPartGallery w:val="Page Numbers (Bottom of Page)"/>
        <w:docPartUnique/>
      </w:docPartObj>
    </w:sdtPr>
    <w:sdtEndPr>
      <w:rPr>
        <w:noProof/>
      </w:rPr>
    </w:sdtEndPr>
    <w:sdtContent>
      <w:p w14:paraId="1BBF4070" w14:textId="77777777" w:rsidR="00610A16" w:rsidRDefault="00610A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17BC8A" w14:textId="77777777" w:rsidR="00790A3E" w:rsidRPr="004076BB" w:rsidRDefault="00790A3E" w:rsidP="00407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8014" w14:textId="77777777" w:rsidR="00322D29" w:rsidRDefault="00322D29" w:rsidP="00141C8F">
      <w:pPr>
        <w:spacing w:after="0" w:line="240" w:lineRule="auto"/>
      </w:pPr>
      <w:r>
        <w:separator/>
      </w:r>
    </w:p>
  </w:footnote>
  <w:footnote w:type="continuationSeparator" w:id="0">
    <w:p w14:paraId="038BDF8C" w14:textId="77777777" w:rsidR="00322D29" w:rsidRDefault="00322D29" w:rsidP="0014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FC1E" w14:textId="77777777" w:rsidR="00B3531C" w:rsidRPr="00B3531C" w:rsidRDefault="00B3531C" w:rsidP="00697F39">
    <w:pPr>
      <w:pStyle w:val="Header"/>
      <w:jc w:val="center"/>
      <w:rPr>
        <w:rFonts w:ascii="Gilroy SemiBold" w:hAnsi="Gilroy SemiBold"/>
        <w:color w:val="ED5D0D"/>
        <w:sz w:val="44"/>
        <w:szCs w:val="44"/>
      </w:rPr>
    </w:pPr>
    <w:r w:rsidRPr="00B3531C">
      <w:rPr>
        <w:rFonts w:ascii="Gilroy SemiBold" w:hAnsi="Gilroy SemiBold"/>
        <w:color w:val="ED5D0D"/>
        <w:sz w:val="44"/>
        <w:szCs w:val="44"/>
      </w:rPr>
      <w:t xml:space="preserve">BIDLOGIQ </w:t>
    </w:r>
    <w:r w:rsidR="0094054A">
      <w:rPr>
        <w:rFonts w:ascii="Gilroy SemiBold" w:hAnsi="Gilroy SemiBold"/>
        <w:color w:val="ED5D0D"/>
        <w:sz w:val="44"/>
        <w:szCs w:val="44"/>
      </w:rPr>
      <w:t>CAPABILITY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3D2"/>
    <w:multiLevelType w:val="multilevel"/>
    <w:tmpl w:val="860E59D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F8D0B25"/>
    <w:multiLevelType w:val="multilevel"/>
    <w:tmpl w:val="0C09001D"/>
    <w:lvl w:ilvl="0">
      <w:start w:val="1"/>
      <w:numFmt w:val="decimal"/>
      <w:lvlText w:val="%1)"/>
      <w:lvlJc w:val="left"/>
      <w:pPr>
        <w:ind w:left="360" w:hanging="360"/>
      </w:pPr>
      <w:rPr>
        <w:rFonts w:ascii="Times New Roman" w:hAnsi="Times New Roman"/>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76C70AE"/>
    <w:multiLevelType w:val="multilevel"/>
    <w:tmpl w:val="0C09001D"/>
    <w:lvl w:ilvl="0">
      <w:start w:val="1"/>
      <w:numFmt w:val="decimal"/>
      <w:lvlText w:val="%1)"/>
      <w:lvlJc w:val="left"/>
      <w:pPr>
        <w:ind w:left="360" w:hanging="360"/>
      </w:pPr>
      <w:rPr>
        <w:rFonts w:ascii="Times New Roman" w:hAnsi="Times New Roman"/>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B4E6029"/>
    <w:multiLevelType w:val="multilevel"/>
    <w:tmpl w:val="63D2DC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97425885">
    <w:abstractNumId w:val="3"/>
  </w:num>
  <w:num w:numId="2" w16cid:durableId="139467118">
    <w:abstractNumId w:val="2"/>
  </w:num>
  <w:num w:numId="3" w16cid:durableId="845245063">
    <w:abstractNumId w:val="0"/>
  </w:num>
  <w:num w:numId="4" w16cid:durableId="554198195">
    <w:abstractNumId w:val="0"/>
  </w:num>
  <w:num w:numId="5" w16cid:durableId="1659264410">
    <w:abstractNumId w:val="0"/>
  </w:num>
  <w:num w:numId="6" w16cid:durableId="399327518">
    <w:abstractNumId w:val="0"/>
  </w:num>
  <w:num w:numId="7" w16cid:durableId="786122451">
    <w:abstractNumId w:val="0"/>
  </w:num>
  <w:num w:numId="8" w16cid:durableId="1049568883">
    <w:abstractNumId w:val="0"/>
  </w:num>
  <w:num w:numId="9" w16cid:durableId="999189359">
    <w:abstractNumId w:val="0"/>
  </w:num>
  <w:num w:numId="10" w16cid:durableId="1039865907">
    <w:abstractNumId w:val="0"/>
  </w:num>
  <w:num w:numId="11" w16cid:durableId="238559966">
    <w:abstractNumId w:val="0"/>
  </w:num>
  <w:num w:numId="12" w16cid:durableId="1154645237">
    <w:abstractNumId w:val="0"/>
  </w:num>
  <w:num w:numId="13" w16cid:durableId="1770733402">
    <w:abstractNumId w:val="0"/>
  </w:num>
  <w:num w:numId="14" w16cid:durableId="2101558078">
    <w:abstractNumId w:val="0"/>
  </w:num>
  <w:num w:numId="15" w16cid:durableId="436370952">
    <w:abstractNumId w:val="0"/>
  </w:num>
  <w:num w:numId="16" w16cid:durableId="441455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8F"/>
    <w:rsid w:val="0000060A"/>
    <w:rsid w:val="00002960"/>
    <w:rsid w:val="00013893"/>
    <w:rsid w:val="00027120"/>
    <w:rsid w:val="00033037"/>
    <w:rsid w:val="00034380"/>
    <w:rsid w:val="000516E8"/>
    <w:rsid w:val="0006773F"/>
    <w:rsid w:val="00067B3E"/>
    <w:rsid w:val="000A39F1"/>
    <w:rsid w:val="000C58A3"/>
    <w:rsid w:val="000C6BDC"/>
    <w:rsid w:val="000E6F08"/>
    <w:rsid w:val="000E73CC"/>
    <w:rsid w:val="00100377"/>
    <w:rsid w:val="00104E52"/>
    <w:rsid w:val="0011673B"/>
    <w:rsid w:val="001217D2"/>
    <w:rsid w:val="00121BEF"/>
    <w:rsid w:val="00121EE3"/>
    <w:rsid w:val="0013201F"/>
    <w:rsid w:val="00141C8F"/>
    <w:rsid w:val="001425CA"/>
    <w:rsid w:val="00163297"/>
    <w:rsid w:val="0017276F"/>
    <w:rsid w:val="0017340B"/>
    <w:rsid w:val="001974F5"/>
    <w:rsid w:val="001A7FFB"/>
    <w:rsid w:val="001D25FD"/>
    <w:rsid w:val="00205393"/>
    <w:rsid w:val="0020687C"/>
    <w:rsid w:val="00206B43"/>
    <w:rsid w:val="00210739"/>
    <w:rsid w:val="002343F5"/>
    <w:rsid w:val="00236142"/>
    <w:rsid w:val="00236B4A"/>
    <w:rsid w:val="00272284"/>
    <w:rsid w:val="002733AF"/>
    <w:rsid w:val="00281AC7"/>
    <w:rsid w:val="00281D4E"/>
    <w:rsid w:val="002900A7"/>
    <w:rsid w:val="002A2FAB"/>
    <w:rsid w:val="002A4C9F"/>
    <w:rsid w:val="002D0C18"/>
    <w:rsid w:val="002D422A"/>
    <w:rsid w:val="002E516C"/>
    <w:rsid w:val="002F5518"/>
    <w:rsid w:val="002F586F"/>
    <w:rsid w:val="00322D29"/>
    <w:rsid w:val="00332C25"/>
    <w:rsid w:val="00335AB3"/>
    <w:rsid w:val="0034737E"/>
    <w:rsid w:val="003705C0"/>
    <w:rsid w:val="00370B29"/>
    <w:rsid w:val="0037312F"/>
    <w:rsid w:val="00373425"/>
    <w:rsid w:val="0037712D"/>
    <w:rsid w:val="00381610"/>
    <w:rsid w:val="00382237"/>
    <w:rsid w:val="0038743E"/>
    <w:rsid w:val="0039443E"/>
    <w:rsid w:val="003A757E"/>
    <w:rsid w:val="003B2C77"/>
    <w:rsid w:val="003C59A9"/>
    <w:rsid w:val="003D0E5A"/>
    <w:rsid w:val="003D7E21"/>
    <w:rsid w:val="003E62F7"/>
    <w:rsid w:val="003F539A"/>
    <w:rsid w:val="003F5442"/>
    <w:rsid w:val="00404746"/>
    <w:rsid w:val="004076BB"/>
    <w:rsid w:val="00411BB6"/>
    <w:rsid w:val="00413963"/>
    <w:rsid w:val="00415ED7"/>
    <w:rsid w:val="00421123"/>
    <w:rsid w:val="004242A6"/>
    <w:rsid w:val="0042563F"/>
    <w:rsid w:val="00457DB3"/>
    <w:rsid w:val="00483976"/>
    <w:rsid w:val="004900C7"/>
    <w:rsid w:val="00490678"/>
    <w:rsid w:val="00491DAC"/>
    <w:rsid w:val="00496822"/>
    <w:rsid w:val="004B50FE"/>
    <w:rsid w:val="004D5E0B"/>
    <w:rsid w:val="004E073E"/>
    <w:rsid w:val="004E2505"/>
    <w:rsid w:val="004E2837"/>
    <w:rsid w:val="004E6691"/>
    <w:rsid w:val="004F4FD8"/>
    <w:rsid w:val="00506550"/>
    <w:rsid w:val="00506CD5"/>
    <w:rsid w:val="00510967"/>
    <w:rsid w:val="0051474F"/>
    <w:rsid w:val="005271C9"/>
    <w:rsid w:val="0053010D"/>
    <w:rsid w:val="00531406"/>
    <w:rsid w:val="00531C1B"/>
    <w:rsid w:val="00554DB6"/>
    <w:rsid w:val="00575716"/>
    <w:rsid w:val="00585EB8"/>
    <w:rsid w:val="00586C36"/>
    <w:rsid w:val="00592573"/>
    <w:rsid w:val="00595711"/>
    <w:rsid w:val="005A6DDD"/>
    <w:rsid w:val="005A7083"/>
    <w:rsid w:val="005B2BE8"/>
    <w:rsid w:val="005B5C84"/>
    <w:rsid w:val="005B6385"/>
    <w:rsid w:val="005D4290"/>
    <w:rsid w:val="005E1B5D"/>
    <w:rsid w:val="005E1F9C"/>
    <w:rsid w:val="005E305A"/>
    <w:rsid w:val="005E3A00"/>
    <w:rsid w:val="005E7FD8"/>
    <w:rsid w:val="005F5BA8"/>
    <w:rsid w:val="00610A16"/>
    <w:rsid w:val="00616186"/>
    <w:rsid w:val="00623A25"/>
    <w:rsid w:val="00643323"/>
    <w:rsid w:val="006457B4"/>
    <w:rsid w:val="006459A5"/>
    <w:rsid w:val="00647C67"/>
    <w:rsid w:val="006530BE"/>
    <w:rsid w:val="006628E0"/>
    <w:rsid w:val="00662975"/>
    <w:rsid w:val="006635EE"/>
    <w:rsid w:val="006648FC"/>
    <w:rsid w:val="00674193"/>
    <w:rsid w:val="00680FC9"/>
    <w:rsid w:val="00687C79"/>
    <w:rsid w:val="00697F39"/>
    <w:rsid w:val="006A0F71"/>
    <w:rsid w:val="006A12C3"/>
    <w:rsid w:val="006A4DB3"/>
    <w:rsid w:val="006D0756"/>
    <w:rsid w:val="006D35F2"/>
    <w:rsid w:val="006D4815"/>
    <w:rsid w:val="006E258F"/>
    <w:rsid w:val="006F0316"/>
    <w:rsid w:val="007107E1"/>
    <w:rsid w:val="00724E71"/>
    <w:rsid w:val="00730272"/>
    <w:rsid w:val="00734459"/>
    <w:rsid w:val="007371E9"/>
    <w:rsid w:val="00742755"/>
    <w:rsid w:val="007464CD"/>
    <w:rsid w:val="0074699E"/>
    <w:rsid w:val="00752EE9"/>
    <w:rsid w:val="00753DA8"/>
    <w:rsid w:val="007707AD"/>
    <w:rsid w:val="00790A3E"/>
    <w:rsid w:val="00795C51"/>
    <w:rsid w:val="007A43C6"/>
    <w:rsid w:val="007A5393"/>
    <w:rsid w:val="007A63AB"/>
    <w:rsid w:val="007B1275"/>
    <w:rsid w:val="007B7421"/>
    <w:rsid w:val="007E52F7"/>
    <w:rsid w:val="007E6630"/>
    <w:rsid w:val="00805124"/>
    <w:rsid w:val="00807136"/>
    <w:rsid w:val="008073FC"/>
    <w:rsid w:val="0081211C"/>
    <w:rsid w:val="00820EA2"/>
    <w:rsid w:val="00830FE7"/>
    <w:rsid w:val="00834B56"/>
    <w:rsid w:val="00837C2F"/>
    <w:rsid w:val="00856100"/>
    <w:rsid w:val="0086136A"/>
    <w:rsid w:val="008640AB"/>
    <w:rsid w:val="008839F3"/>
    <w:rsid w:val="00884B15"/>
    <w:rsid w:val="00884CEF"/>
    <w:rsid w:val="00893125"/>
    <w:rsid w:val="0089608C"/>
    <w:rsid w:val="008A3FF9"/>
    <w:rsid w:val="008C2017"/>
    <w:rsid w:val="008C4E32"/>
    <w:rsid w:val="008D0907"/>
    <w:rsid w:val="008D0E36"/>
    <w:rsid w:val="008E631E"/>
    <w:rsid w:val="00900DCC"/>
    <w:rsid w:val="00906C95"/>
    <w:rsid w:val="00907CDA"/>
    <w:rsid w:val="00911351"/>
    <w:rsid w:val="00911504"/>
    <w:rsid w:val="0091416B"/>
    <w:rsid w:val="009146B2"/>
    <w:rsid w:val="009149D4"/>
    <w:rsid w:val="00923C54"/>
    <w:rsid w:val="00926B40"/>
    <w:rsid w:val="00930E9D"/>
    <w:rsid w:val="0094054A"/>
    <w:rsid w:val="00946429"/>
    <w:rsid w:val="00955506"/>
    <w:rsid w:val="009616A5"/>
    <w:rsid w:val="00963D9F"/>
    <w:rsid w:val="00964C5A"/>
    <w:rsid w:val="00966E59"/>
    <w:rsid w:val="00973A38"/>
    <w:rsid w:val="00980692"/>
    <w:rsid w:val="009A2E70"/>
    <w:rsid w:val="009A4B1A"/>
    <w:rsid w:val="009A4CE5"/>
    <w:rsid w:val="009A743A"/>
    <w:rsid w:val="009B18F5"/>
    <w:rsid w:val="009B7FEF"/>
    <w:rsid w:val="009C5AA7"/>
    <w:rsid w:val="009D7421"/>
    <w:rsid w:val="009E488A"/>
    <w:rsid w:val="009E5D41"/>
    <w:rsid w:val="009F0644"/>
    <w:rsid w:val="009F20E2"/>
    <w:rsid w:val="00A06CB6"/>
    <w:rsid w:val="00A127C0"/>
    <w:rsid w:val="00A133E8"/>
    <w:rsid w:val="00A143D5"/>
    <w:rsid w:val="00A21747"/>
    <w:rsid w:val="00A22F38"/>
    <w:rsid w:val="00A238BA"/>
    <w:rsid w:val="00A24D01"/>
    <w:rsid w:val="00A37DA9"/>
    <w:rsid w:val="00A41951"/>
    <w:rsid w:val="00A427EF"/>
    <w:rsid w:val="00A65E91"/>
    <w:rsid w:val="00A71344"/>
    <w:rsid w:val="00A73208"/>
    <w:rsid w:val="00A9602A"/>
    <w:rsid w:val="00AA1991"/>
    <w:rsid w:val="00AA2ADC"/>
    <w:rsid w:val="00AA35F7"/>
    <w:rsid w:val="00AA53E7"/>
    <w:rsid w:val="00AB4C86"/>
    <w:rsid w:val="00AD3C99"/>
    <w:rsid w:val="00AD5C49"/>
    <w:rsid w:val="00AE1AF9"/>
    <w:rsid w:val="00AE2932"/>
    <w:rsid w:val="00AF7047"/>
    <w:rsid w:val="00B01CAE"/>
    <w:rsid w:val="00B038E0"/>
    <w:rsid w:val="00B209E6"/>
    <w:rsid w:val="00B246AA"/>
    <w:rsid w:val="00B3531C"/>
    <w:rsid w:val="00B37DBF"/>
    <w:rsid w:val="00B42F2F"/>
    <w:rsid w:val="00B443C9"/>
    <w:rsid w:val="00B4585D"/>
    <w:rsid w:val="00B45B4A"/>
    <w:rsid w:val="00B46C8C"/>
    <w:rsid w:val="00B46F69"/>
    <w:rsid w:val="00B57E56"/>
    <w:rsid w:val="00B64035"/>
    <w:rsid w:val="00B64AE4"/>
    <w:rsid w:val="00B7066D"/>
    <w:rsid w:val="00B70839"/>
    <w:rsid w:val="00B70942"/>
    <w:rsid w:val="00B773C4"/>
    <w:rsid w:val="00B814FD"/>
    <w:rsid w:val="00B82434"/>
    <w:rsid w:val="00BA4E6B"/>
    <w:rsid w:val="00BA5128"/>
    <w:rsid w:val="00BB64FA"/>
    <w:rsid w:val="00BD3B25"/>
    <w:rsid w:val="00BE33D5"/>
    <w:rsid w:val="00BE764F"/>
    <w:rsid w:val="00BF26DD"/>
    <w:rsid w:val="00BF27F2"/>
    <w:rsid w:val="00BF6804"/>
    <w:rsid w:val="00C262FF"/>
    <w:rsid w:val="00C273B9"/>
    <w:rsid w:val="00C332FF"/>
    <w:rsid w:val="00C72070"/>
    <w:rsid w:val="00C76849"/>
    <w:rsid w:val="00CA0BD3"/>
    <w:rsid w:val="00CA594E"/>
    <w:rsid w:val="00CA7A41"/>
    <w:rsid w:val="00CB137C"/>
    <w:rsid w:val="00CB6EFC"/>
    <w:rsid w:val="00CC0822"/>
    <w:rsid w:val="00CD09D5"/>
    <w:rsid w:val="00CD106D"/>
    <w:rsid w:val="00CD5378"/>
    <w:rsid w:val="00CD723A"/>
    <w:rsid w:val="00CD7C01"/>
    <w:rsid w:val="00CE2869"/>
    <w:rsid w:val="00CE3723"/>
    <w:rsid w:val="00CE7FFD"/>
    <w:rsid w:val="00CF10B2"/>
    <w:rsid w:val="00D06276"/>
    <w:rsid w:val="00D128CE"/>
    <w:rsid w:val="00D14CD2"/>
    <w:rsid w:val="00D240BC"/>
    <w:rsid w:val="00D3360B"/>
    <w:rsid w:val="00D41B3F"/>
    <w:rsid w:val="00D46FDB"/>
    <w:rsid w:val="00D766C5"/>
    <w:rsid w:val="00D80D8E"/>
    <w:rsid w:val="00D8122C"/>
    <w:rsid w:val="00D87E63"/>
    <w:rsid w:val="00DA59F1"/>
    <w:rsid w:val="00DB0894"/>
    <w:rsid w:val="00DC02BB"/>
    <w:rsid w:val="00DC3A75"/>
    <w:rsid w:val="00DD015A"/>
    <w:rsid w:val="00DD6060"/>
    <w:rsid w:val="00DE24D0"/>
    <w:rsid w:val="00DE3443"/>
    <w:rsid w:val="00DF339B"/>
    <w:rsid w:val="00DF5491"/>
    <w:rsid w:val="00E20024"/>
    <w:rsid w:val="00E21C9D"/>
    <w:rsid w:val="00E23803"/>
    <w:rsid w:val="00E24914"/>
    <w:rsid w:val="00E256A5"/>
    <w:rsid w:val="00E3253C"/>
    <w:rsid w:val="00E40846"/>
    <w:rsid w:val="00E742B0"/>
    <w:rsid w:val="00E80F91"/>
    <w:rsid w:val="00E81DA6"/>
    <w:rsid w:val="00EE2495"/>
    <w:rsid w:val="00EE4A89"/>
    <w:rsid w:val="00EF0B2B"/>
    <w:rsid w:val="00F057D2"/>
    <w:rsid w:val="00F17FAC"/>
    <w:rsid w:val="00F234C7"/>
    <w:rsid w:val="00F2441C"/>
    <w:rsid w:val="00F340F2"/>
    <w:rsid w:val="00F360BB"/>
    <w:rsid w:val="00F41C34"/>
    <w:rsid w:val="00F47CB5"/>
    <w:rsid w:val="00F65462"/>
    <w:rsid w:val="00F72F70"/>
    <w:rsid w:val="00F76292"/>
    <w:rsid w:val="00F948AB"/>
    <w:rsid w:val="00FA1627"/>
    <w:rsid w:val="00FB0A0E"/>
    <w:rsid w:val="00FB2471"/>
    <w:rsid w:val="00FB276C"/>
    <w:rsid w:val="00FB5195"/>
    <w:rsid w:val="00FC67B1"/>
    <w:rsid w:val="00FE011D"/>
    <w:rsid w:val="00FE160C"/>
    <w:rsid w:val="00FF09AC"/>
    <w:rsid w:val="00FF464E"/>
    <w:rsid w:val="00FF5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07D4"/>
  <w15:chartTrackingRefBased/>
  <w15:docId w15:val="{E23E8A9F-6744-4D01-9CDE-289EF769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66D"/>
    <w:rPr>
      <w:rFonts w:ascii="Montserrat" w:hAnsi="Montserrat"/>
      <w:sz w:val="21"/>
    </w:rPr>
  </w:style>
  <w:style w:type="paragraph" w:styleId="Heading1">
    <w:name w:val="heading 1"/>
    <w:basedOn w:val="Normal"/>
    <w:next w:val="Normal"/>
    <w:link w:val="Heading1Char"/>
    <w:uiPriority w:val="9"/>
    <w:qFormat/>
    <w:rsid w:val="00680FC9"/>
    <w:pPr>
      <w:keepNext/>
      <w:keepLines/>
      <w:spacing w:before="160"/>
      <w:outlineLvl w:val="0"/>
    </w:pPr>
    <w:rPr>
      <w:rFonts w:ascii="Gilroy SemiBold" w:eastAsiaTheme="majorEastAsia" w:hAnsi="Gilroy SemiBold" w:cstheme="majorBidi"/>
      <w:color w:val="F5610F"/>
      <w:szCs w:val="32"/>
    </w:rPr>
  </w:style>
  <w:style w:type="paragraph" w:styleId="Heading2">
    <w:name w:val="heading 2"/>
    <w:basedOn w:val="Normal"/>
    <w:next w:val="Normal"/>
    <w:link w:val="Heading2Char"/>
    <w:uiPriority w:val="9"/>
    <w:unhideWhenUsed/>
    <w:qFormat/>
    <w:rsid w:val="00027120"/>
    <w:pPr>
      <w:keepNext/>
      <w:keepLines/>
      <w:outlineLvl w:val="1"/>
    </w:pPr>
    <w:rPr>
      <w:rFonts w:eastAsiaTheme="majorEastAsia" w:cstheme="majorBidi"/>
      <w:color w:val="F5610F"/>
      <w:szCs w:val="26"/>
    </w:rPr>
  </w:style>
  <w:style w:type="paragraph" w:styleId="Heading3">
    <w:name w:val="heading 3"/>
    <w:basedOn w:val="Normal"/>
    <w:next w:val="Normal"/>
    <w:link w:val="Heading3Char"/>
    <w:uiPriority w:val="9"/>
    <w:semiHidden/>
    <w:unhideWhenUsed/>
    <w:qFormat/>
    <w:rsid w:val="0006773F"/>
    <w:pPr>
      <w:keepNext/>
      <w:keepLines/>
      <w:spacing w:before="40" w:after="0"/>
      <w:outlineLvl w:val="2"/>
    </w:pPr>
    <w:rPr>
      <w:rFonts w:eastAsiaTheme="majorEastAsia" w:cstheme="majorBidi"/>
      <w:color w:val="F5610F"/>
      <w:szCs w:val="24"/>
    </w:rPr>
  </w:style>
  <w:style w:type="paragraph" w:styleId="Heading4">
    <w:name w:val="heading 4"/>
    <w:basedOn w:val="Normal"/>
    <w:next w:val="Normal"/>
    <w:link w:val="Heading4Char"/>
    <w:uiPriority w:val="9"/>
    <w:semiHidden/>
    <w:unhideWhenUsed/>
    <w:qFormat/>
    <w:rsid w:val="009F20E2"/>
    <w:pPr>
      <w:keepNext/>
      <w:keepLines/>
      <w:numPr>
        <w:ilvl w:val="3"/>
        <w:numId w:val="1"/>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20E2"/>
    <w:pPr>
      <w:keepNext/>
      <w:keepLines/>
      <w:numPr>
        <w:ilvl w:val="4"/>
        <w:numId w:val="1"/>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9F20E2"/>
    <w:pPr>
      <w:keepNext/>
      <w:keepLines/>
      <w:numPr>
        <w:ilvl w:val="5"/>
        <w:numId w:val="1"/>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9F20E2"/>
    <w:pPr>
      <w:keepNext/>
      <w:keepLines/>
      <w:numPr>
        <w:ilvl w:val="6"/>
        <w:numId w:val="1"/>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9F20E2"/>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F20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FC9"/>
    <w:rPr>
      <w:rFonts w:ascii="Gilroy SemiBold" w:eastAsiaTheme="majorEastAsia" w:hAnsi="Gilroy SemiBold" w:cstheme="majorBidi"/>
      <w:color w:val="F5610F"/>
      <w:szCs w:val="32"/>
    </w:rPr>
  </w:style>
  <w:style w:type="character" w:customStyle="1" w:styleId="Heading2Char">
    <w:name w:val="Heading 2 Char"/>
    <w:basedOn w:val="DefaultParagraphFont"/>
    <w:link w:val="Heading2"/>
    <w:uiPriority w:val="9"/>
    <w:rsid w:val="00027120"/>
    <w:rPr>
      <w:rFonts w:eastAsiaTheme="majorEastAsia" w:cstheme="majorBidi"/>
      <w:color w:val="F5610F"/>
      <w:szCs w:val="26"/>
    </w:rPr>
  </w:style>
  <w:style w:type="character" w:customStyle="1" w:styleId="Heading3Char">
    <w:name w:val="Heading 3 Char"/>
    <w:basedOn w:val="DefaultParagraphFont"/>
    <w:link w:val="Heading3"/>
    <w:uiPriority w:val="9"/>
    <w:semiHidden/>
    <w:rsid w:val="0006773F"/>
    <w:rPr>
      <w:rFonts w:eastAsiaTheme="majorEastAsia" w:cstheme="majorBidi"/>
      <w:color w:val="F5610F"/>
      <w:szCs w:val="24"/>
    </w:rPr>
  </w:style>
  <w:style w:type="character" w:customStyle="1" w:styleId="Heading4Char">
    <w:name w:val="Heading 4 Char"/>
    <w:basedOn w:val="DefaultParagraphFont"/>
    <w:link w:val="Heading4"/>
    <w:uiPriority w:val="9"/>
    <w:semiHidden/>
    <w:rsid w:val="009F20E2"/>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9F20E2"/>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9F20E2"/>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9F20E2"/>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9F20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20E2"/>
    <w:rPr>
      <w:rFonts w:asciiTheme="majorHAnsi" w:eastAsiaTheme="majorEastAsia" w:hAnsiTheme="majorHAnsi" w:cstheme="majorBidi"/>
      <w:i/>
      <w:iCs/>
      <w:color w:val="272727" w:themeColor="text1" w:themeTint="D8"/>
      <w:sz w:val="21"/>
      <w:szCs w:val="21"/>
    </w:rPr>
  </w:style>
  <w:style w:type="paragraph" w:customStyle="1" w:styleId="Figure">
    <w:name w:val="Figure"/>
    <w:basedOn w:val="Normal"/>
    <w:next w:val="Normal"/>
    <w:link w:val="FigureChar"/>
    <w:qFormat/>
    <w:rsid w:val="00CC0822"/>
    <w:pPr>
      <w:spacing w:after="240"/>
      <w:jc w:val="center"/>
    </w:pPr>
    <w:rPr>
      <w:i/>
      <w:color w:val="C00000"/>
    </w:rPr>
  </w:style>
  <w:style w:type="character" w:customStyle="1" w:styleId="FigureChar">
    <w:name w:val="Figure Char"/>
    <w:basedOn w:val="DefaultParagraphFont"/>
    <w:link w:val="Figure"/>
    <w:rsid w:val="00CC0822"/>
    <w:rPr>
      <w:i/>
      <w:color w:val="C00000"/>
    </w:rPr>
  </w:style>
  <w:style w:type="paragraph" w:styleId="Quote">
    <w:name w:val="Quote"/>
    <w:basedOn w:val="Normal"/>
    <w:next w:val="Normal"/>
    <w:link w:val="QuoteChar"/>
    <w:uiPriority w:val="29"/>
    <w:rsid w:val="00CC082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C0822"/>
    <w:rPr>
      <w:i/>
      <w:iCs/>
      <w:color w:val="404040" w:themeColor="text1" w:themeTint="BF"/>
    </w:rPr>
  </w:style>
  <w:style w:type="paragraph" w:styleId="Title">
    <w:name w:val="Title"/>
    <w:basedOn w:val="Normal"/>
    <w:next w:val="Normal"/>
    <w:link w:val="TitleChar"/>
    <w:uiPriority w:val="10"/>
    <w:rsid w:val="00141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41C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C8F"/>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rsid w:val="00141C8F"/>
    <w:pPr>
      <w:ind w:left="720"/>
      <w:contextualSpacing/>
    </w:pPr>
  </w:style>
  <w:style w:type="character" w:styleId="IntenseEmphasis">
    <w:name w:val="Intense Emphasis"/>
    <w:basedOn w:val="DefaultParagraphFont"/>
    <w:uiPriority w:val="21"/>
    <w:rsid w:val="00141C8F"/>
    <w:rPr>
      <w:i/>
      <w:iCs/>
      <w:color w:val="0F4761" w:themeColor="accent1" w:themeShade="BF"/>
    </w:rPr>
  </w:style>
  <w:style w:type="paragraph" w:styleId="IntenseQuote">
    <w:name w:val="Intense Quote"/>
    <w:basedOn w:val="Normal"/>
    <w:next w:val="Normal"/>
    <w:link w:val="IntenseQuoteChar"/>
    <w:uiPriority w:val="30"/>
    <w:rsid w:val="00141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C8F"/>
    <w:rPr>
      <w:i/>
      <w:iCs/>
      <w:color w:val="0F4761" w:themeColor="accent1" w:themeShade="BF"/>
    </w:rPr>
  </w:style>
  <w:style w:type="character" w:styleId="IntenseReference">
    <w:name w:val="Intense Reference"/>
    <w:basedOn w:val="DefaultParagraphFont"/>
    <w:uiPriority w:val="32"/>
    <w:rsid w:val="00141C8F"/>
    <w:rPr>
      <w:b/>
      <w:bCs/>
      <w:smallCaps/>
      <w:color w:val="0F4761" w:themeColor="accent1" w:themeShade="BF"/>
      <w:spacing w:val="5"/>
    </w:rPr>
  </w:style>
  <w:style w:type="paragraph" w:styleId="Header">
    <w:name w:val="header"/>
    <w:basedOn w:val="Normal"/>
    <w:link w:val="HeaderChar"/>
    <w:uiPriority w:val="99"/>
    <w:unhideWhenUsed/>
    <w:rsid w:val="00141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C8F"/>
  </w:style>
  <w:style w:type="paragraph" w:styleId="Footer">
    <w:name w:val="footer"/>
    <w:basedOn w:val="Normal"/>
    <w:link w:val="FooterChar"/>
    <w:uiPriority w:val="99"/>
    <w:unhideWhenUsed/>
    <w:rsid w:val="00141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C8F"/>
  </w:style>
  <w:style w:type="table" w:customStyle="1" w:styleId="Blank">
    <w:name w:val="Blank"/>
    <w:basedOn w:val="TableNormal"/>
    <w:uiPriority w:val="99"/>
    <w:rsid w:val="007E6630"/>
    <w:pPr>
      <w:spacing w:after="0" w:line="240" w:lineRule="auto"/>
    </w:pPr>
    <w:rPr>
      <w:rFonts w:asciiTheme="minorHAnsi" w:eastAsiaTheme="minorEastAsia" w:hAnsiTheme="minorHAnsi" w:cstheme="minorBidi"/>
      <w:kern w:val="0"/>
      <w:sz w:val="22"/>
      <w:szCs w:val="22"/>
      <w:lang w:val="en-GB"/>
      <w14:ligatures w14:val="none"/>
    </w:rPr>
    <w:tblPr>
      <w:tblCellMar>
        <w:left w:w="0" w:type="dxa"/>
        <w:right w:w="0" w:type="dxa"/>
      </w:tblCellMar>
    </w:tblPr>
  </w:style>
  <w:style w:type="character" w:customStyle="1" w:styleId="RedColour">
    <w:name w:val="Red Colour"/>
    <w:uiPriority w:val="9"/>
    <w:qFormat/>
    <w:rsid w:val="007E6630"/>
    <w:rPr>
      <w:rFonts w:asciiTheme="minorHAnsi" w:eastAsiaTheme="minorEastAsia" w:hAnsiTheme="minorHAnsi" w:cstheme="minorBidi"/>
      <w:color w:val="E61E28"/>
      <w:lang w:val="en-AU"/>
    </w:rPr>
  </w:style>
  <w:style w:type="paragraph" w:customStyle="1" w:styleId="Template-Address">
    <w:name w:val="Template - Address"/>
    <w:basedOn w:val="Normal"/>
    <w:uiPriority w:val="15"/>
    <w:semiHidden/>
    <w:rsid w:val="007E6630"/>
    <w:pPr>
      <w:tabs>
        <w:tab w:val="left" w:pos="567"/>
      </w:tabs>
      <w:suppressAutoHyphens/>
      <w:spacing w:after="80" w:line="160" w:lineRule="atLeast"/>
      <w:contextualSpacing/>
    </w:pPr>
    <w:rPr>
      <w:rFonts w:asciiTheme="minorHAnsi" w:eastAsiaTheme="minorEastAsia" w:hAnsiTheme="minorHAnsi" w:cstheme="minorBidi"/>
      <w:noProof/>
      <w:kern w:val="0"/>
      <w:sz w:val="14"/>
      <w:szCs w:val="22"/>
      <w:lang w:eastAsia="zh-CN"/>
      <w14:ligatures w14:val="none"/>
    </w:rPr>
  </w:style>
  <w:style w:type="character" w:customStyle="1" w:styleId="Bold">
    <w:name w:val="Bold"/>
    <w:basedOn w:val="DefaultParagraphFont"/>
    <w:uiPriority w:val="99"/>
    <w:semiHidden/>
    <w:qFormat/>
    <w:rsid w:val="007E6630"/>
    <w:rPr>
      <w:b/>
      <w:lang w:val="en-AU"/>
    </w:rPr>
  </w:style>
  <w:style w:type="paragraph" w:customStyle="1" w:styleId="Disclaimer">
    <w:name w:val="Disclaimer"/>
    <w:basedOn w:val="Normal"/>
    <w:uiPriority w:val="99"/>
    <w:semiHidden/>
    <w:rsid w:val="007E6630"/>
    <w:pPr>
      <w:spacing w:after="0" w:line="160" w:lineRule="atLeast"/>
    </w:pPr>
    <w:rPr>
      <w:rFonts w:asciiTheme="minorHAnsi" w:eastAsiaTheme="minorEastAsia" w:hAnsiTheme="minorHAnsi" w:cstheme="minorBidi"/>
      <w:kern w:val="0"/>
      <w:sz w:val="14"/>
      <w:szCs w:val="22"/>
      <w:lang w:eastAsia="zh-CN"/>
      <w14:ligatures w14:val="none"/>
    </w:rPr>
  </w:style>
  <w:style w:type="character" w:styleId="PlaceholderText">
    <w:name w:val="Placeholder Text"/>
    <w:basedOn w:val="DefaultParagraphFont"/>
    <w:uiPriority w:val="99"/>
    <w:rsid w:val="00CF10B2"/>
    <w:rPr>
      <w:rFonts w:asciiTheme="minorHAnsi" w:eastAsiaTheme="minorEastAsia" w:hAnsiTheme="minorHAnsi" w:cstheme="minorBidi"/>
      <w:color w:val="808080"/>
      <w:lang w:val="en-AU"/>
    </w:rPr>
  </w:style>
  <w:style w:type="paragraph" w:customStyle="1" w:styleId="Cover-Subtitle">
    <w:name w:val="Cover - Subtitle"/>
    <w:basedOn w:val="Normal"/>
    <w:next w:val="Cover-Ref"/>
    <w:uiPriority w:val="99"/>
    <w:semiHidden/>
    <w:rsid w:val="00CF10B2"/>
    <w:pPr>
      <w:suppressAutoHyphens/>
      <w:spacing w:before="120" w:after="80" w:line="240" w:lineRule="auto"/>
    </w:pPr>
    <w:rPr>
      <w:rFonts w:asciiTheme="minorHAnsi" w:eastAsiaTheme="minorEastAsia" w:hAnsiTheme="minorHAnsi" w:cstheme="minorBidi"/>
      <w:kern w:val="0"/>
      <w:sz w:val="28"/>
      <w:szCs w:val="22"/>
      <w:lang w:eastAsia="zh-CN"/>
      <w14:ligatures w14:val="none"/>
    </w:rPr>
  </w:style>
  <w:style w:type="paragraph" w:customStyle="1" w:styleId="Cover-Client">
    <w:name w:val="Cover - Client"/>
    <w:basedOn w:val="Cover-Subtitle"/>
    <w:uiPriority w:val="99"/>
    <w:semiHidden/>
    <w:qFormat/>
    <w:rsid w:val="00CF10B2"/>
    <w:pPr>
      <w:spacing w:before="0" w:after="120"/>
    </w:pPr>
    <w:rPr>
      <w:rFonts w:asciiTheme="majorHAnsi" w:eastAsiaTheme="majorEastAsia" w:hAnsiTheme="majorHAnsi" w:cstheme="majorBidi"/>
      <w:b/>
      <w:color w:val="E61E28"/>
      <w:sz w:val="24"/>
    </w:rPr>
  </w:style>
  <w:style w:type="paragraph" w:customStyle="1" w:styleId="Cover-Ref">
    <w:name w:val="Cover - Ref"/>
    <w:basedOn w:val="Normal"/>
    <w:uiPriority w:val="99"/>
    <w:semiHidden/>
    <w:rsid w:val="00CF10B2"/>
    <w:pPr>
      <w:spacing w:after="40" w:line="240" w:lineRule="auto"/>
    </w:pPr>
    <w:rPr>
      <w:rFonts w:asciiTheme="minorHAnsi" w:eastAsiaTheme="minorEastAsia" w:hAnsiTheme="minorHAnsi" w:cstheme="minorBidi"/>
      <w:kern w:val="0"/>
      <w:sz w:val="18"/>
      <w:szCs w:val="22"/>
      <w:lang w:eastAsia="zh-CN"/>
      <w14:ligatures w14:val="none"/>
    </w:rPr>
  </w:style>
  <w:style w:type="paragraph" w:customStyle="1" w:styleId="Cover-Title">
    <w:name w:val="Cover - Title"/>
    <w:basedOn w:val="Normal"/>
    <w:next w:val="Cover-Subtitle"/>
    <w:uiPriority w:val="99"/>
    <w:semiHidden/>
    <w:rsid w:val="00CF10B2"/>
    <w:pPr>
      <w:suppressAutoHyphens/>
      <w:spacing w:before="40" w:after="0" w:line="240" w:lineRule="auto"/>
    </w:pPr>
    <w:rPr>
      <w:rFonts w:asciiTheme="minorHAnsi" w:eastAsiaTheme="minorEastAsia" w:hAnsiTheme="minorHAnsi" w:cstheme="minorBidi"/>
      <w:kern w:val="0"/>
      <w:sz w:val="44"/>
      <w:szCs w:val="22"/>
      <w:lang w:eastAsia="zh-CN"/>
      <w14:ligatures w14:val="none"/>
    </w:rPr>
  </w:style>
  <w:style w:type="paragraph" w:customStyle="1" w:styleId="Appendix">
    <w:name w:val="Appendix"/>
    <w:basedOn w:val="Heading1"/>
    <w:link w:val="AppendixChar"/>
    <w:qFormat/>
    <w:rsid w:val="0086136A"/>
    <w:rPr>
      <w:b/>
    </w:rPr>
  </w:style>
  <w:style w:type="character" w:customStyle="1" w:styleId="AppendixChar">
    <w:name w:val="Appendix Char"/>
    <w:basedOn w:val="Heading1Char"/>
    <w:link w:val="Appendix"/>
    <w:rsid w:val="0086136A"/>
    <w:rPr>
      <w:rFonts w:ascii="Gilroy SemiBold" w:eastAsiaTheme="majorEastAsia" w:hAnsi="Gilroy SemiBold" w:cstheme="majorBidi"/>
      <w:b/>
      <w:color w:val="E61E28"/>
      <w:sz w:val="28"/>
      <w:szCs w:val="32"/>
    </w:rPr>
  </w:style>
  <w:style w:type="paragraph" w:styleId="TOC2">
    <w:name w:val="toc 2"/>
    <w:basedOn w:val="Normal"/>
    <w:next w:val="Normal"/>
    <w:autoRedefine/>
    <w:uiPriority w:val="39"/>
    <w:unhideWhenUsed/>
    <w:rsid w:val="005B6385"/>
    <w:pPr>
      <w:spacing w:after="100"/>
      <w:ind w:left="200"/>
    </w:pPr>
  </w:style>
  <w:style w:type="character" w:styleId="Hyperlink">
    <w:name w:val="Hyperlink"/>
    <w:basedOn w:val="DefaultParagraphFont"/>
    <w:uiPriority w:val="99"/>
    <w:unhideWhenUsed/>
    <w:rsid w:val="005B6385"/>
    <w:rPr>
      <w:color w:val="467886" w:themeColor="hyperlink"/>
      <w:u w:val="single"/>
    </w:rPr>
  </w:style>
  <w:style w:type="table" w:styleId="TableGrid">
    <w:name w:val="Table Grid"/>
    <w:basedOn w:val="TableNormal"/>
    <w:uiPriority w:val="39"/>
    <w:rsid w:val="00B2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le">
    <w:name w:val="Scale"/>
    <w:basedOn w:val="Normal"/>
    <w:link w:val="ScaleChar"/>
    <w:qFormat/>
    <w:rsid w:val="00AA1991"/>
    <w:pPr>
      <w:keepLines/>
      <w:spacing w:after="0" w:line="240" w:lineRule="auto"/>
      <w:jc w:val="center"/>
    </w:pPr>
    <w:rPr>
      <w:b/>
      <w:bCs/>
      <w:sz w:val="24"/>
    </w:rPr>
  </w:style>
  <w:style w:type="character" w:customStyle="1" w:styleId="ScaleChar">
    <w:name w:val="Scale Char"/>
    <w:basedOn w:val="DefaultParagraphFont"/>
    <w:link w:val="Scale"/>
    <w:rsid w:val="00AA1991"/>
    <w:rPr>
      <w:b/>
      <w:bCs/>
      <w:sz w:val="24"/>
    </w:rPr>
  </w:style>
  <w:style w:type="paragraph" w:customStyle="1" w:styleId="ScaleTitle">
    <w:name w:val="ScaleTitle"/>
    <w:basedOn w:val="Normal"/>
    <w:link w:val="ScaleTitleChar"/>
    <w:qFormat/>
    <w:rsid w:val="00AA1991"/>
    <w:pPr>
      <w:keepLines/>
      <w:spacing w:after="0" w:line="240" w:lineRule="auto"/>
      <w:jc w:val="center"/>
    </w:pPr>
    <w:rPr>
      <w:b/>
      <w:bCs/>
      <w:color w:val="FF6800"/>
    </w:rPr>
  </w:style>
  <w:style w:type="character" w:customStyle="1" w:styleId="ScaleTitleChar">
    <w:name w:val="ScaleTitle Char"/>
    <w:basedOn w:val="DefaultParagraphFont"/>
    <w:link w:val="ScaleTitle"/>
    <w:rsid w:val="00AA1991"/>
    <w:rPr>
      <w:b/>
      <w:bCs/>
      <w:color w:val="FF6800"/>
      <w:sz w:val="22"/>
    </w:rPr>
  </w:style>
  <w:style w:type="paragraph" w:customStyle="1" w:styleId="TableHeading">
    <w:name w:val="TableHeading"/>
    <w:basedOn w:val="Normal"/>
    <w:link w:val="TableHeadingChar"/>
    <w:qFormat/>
    <w:rsid w:val="00AA1991"/>
    <w:pPr>
      <w:keepNext/>
      <w:keepLines/>
      <w:spacing w:after="0" w:line="240" w:lineRule="auto"/>
      <w:jc w:val="center"/>
    </w:pPr>
    <w:rPr>
      <w:b/>
      <w:bCs/>
      <w:color w:val="FFFFFF" w:themeColor="background1"/>
    </w:rPr>
  </w:style>
  <w:style w:type="character" w:customStyle="1" w:styleId="TableHeadingChar">
    <w:name w:val="TableHeading Char"/>
    <w:basedOn w:val="DefaultParagraphFont"/>
    <w:link w:val="TableHeading"/>
    <w:rsid w:val="00AA1991"/>
    <w:rPr>
      <w:b/>
      <w:bCs/>
      <w:color w:val="FFFFFF" w:themeColor="background1"/>
      <w:sz w:val="22"/>
    </w:rPr>
  </w:style>
  <w:style w:type="paragraph" w:customStyle="1" w:styleId="Compact">
    <w:name w:val="Compact"/>
    <w:qFormat/>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dc:creator>
  <cp:keywords/>
  <dc:description/>
  <cp:lastModifiedBy>Mike Pascale</cp:lastModifiedBy>
  <cp:revision>29</cp:revision>
  <dcterms:created xsi:type="dcterms:W3CDTF">2025-06-26T11:45:00Z</dcterms:created>
  <dcterms:modified xsi:type="dcterms:W3CDTF">2026-01-10T07:10:00Z</dcterms:modified>
  <dc:identifier/>
  <dc:language/>
</cp:coreProperties>
</file>